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方正小标宋简体"/>
          <w:sz w:val="42"/>
          <w:szCs w:val="42"/>
        </w:rPr>
      </w:pPr>
      <w:r>
        <w:rPr>
          <w:rFonts w:hint="eastAsia" w:eastAsia="方正小标宋简体"/>
          <w:sz w:val="42"/>
          <w:szCs w:val="42"/>
        </w:rPr>
        <w:t>东莞市新能源汽车推广应用资金</w:t>
      </w:r>
      <w:bookmarkStart w:id="0" w:name="_GoBack"/>
      <w:bookmarkEnd w:id="0"/>
      <w:r>
        <w:rPr>
          <w:rFonts w:hint="eastAsia" w:eastAsia="方正小标宋简体"/>
          <w:sz w:val="42"/>
          <w:szCs w:val="42"/>
        </w:rPr>
        <w:t>管理办法</w:t>
      </w:r>
    </w:p>
    <w:p>
      <w:pPr>
        <w:spacing w:line="580" w:lineRule="exact"/>
        <w:ind w:firstLine="640" w:firstLineChars="200"/>
        <w:jc w:val="center"/>
        <w:rPr>
          <w:rFonts w:eastAsia="楷体_GB2312"/>
          <w:sz w:val="32"/>
          <w:szCs w:val="32"/>
        </w:rPr>
      </w:pPr>
      <w:r>
        <w:rPr>
          <w:rFonts w:eastAsia="楷体_GB2312"/>
          <w:sz w:val="32"/>
          <w:szCs w:val="32"/>
        </w:rPr>
        <w:t>(201</w:t>
      </w:r>
      <w:r>
        <w:rPr>
          <w:rFonts w:hint="eastAsia" w:eastAsia="楷体_GB2312"/>
          <w:sz w:val="32"/>
          <w:szCs w:val="32"/>
        </w:rPr>
        <w:t>9年修订</w:t>
      </w:r>
      <w:r>
        <w:rPr>
          <w:rFonts w:eastAsia="楷体_GB2312"/>
          <w:sz w:val="32"/>
          <w:szCs w:val="32"/>
        </w:rPr>
        <w:t>)</w:t>
      </w:r>
      <w:r>
        <w:rPr>
          <w:rFonts w:hint="eastAsia" w:eastAsia="楷体_GB2312"/>
          <w:sz w:val="32"/>
          <w:szCs w:val="32"/>
        </w:rPr>
        <w:t>（</w:t>
      </w:r>
      <w:r>
        <w:rPr>
          <w:rFonts w:hint="eastAsia" w:eastAsia="楷体_GB2312"/>
          <w:sz w:val="32"/>
          <w:szCs w:val="32"/>
          <w:lang w:eastAsia="zh-CN"/>
        </w:rPr>
        <w:t>再次</w:t>
      </w:r>
      <w:r>
        <w:rPr>
          <w:rFonts w:hint="eastAsia" w:eastAsia="楷体_GB2312"/>
          <w:sz w:val="32"/>
          <w:szCs w:val="32"/>
        </w:rPr>
        <w:t>征求意见稿）</w:t>
      </w:r>
    </w:p>
    <w:p>
      <w:pPr>
        <w:spacing w:line="580" w:lineRule="exact"/>
        <w:ind w:firstLine="640" w:firstLineChars="200"/>
        <w:jc w:val="center"/>
        <w:rPr>
          <w:rFonts w:eastAsia="仿宋_GB2312"/>
          <w:sz w:val="32"/>
          <w:szCs w:val="32"/>
        </w:rPr>
      </w:pPr>
    </w:p>
    <w:p>
      <w:pPr>
        <w:spacing w:line="580" w:lineRule="exact"/>
        <w:ind w:firstLine="643" w:firstLineChars="200"/>
        <w:jc w:val="center"/>
        <w:rPr>
          <w:rFonts w:eastAsia="黑体"/>
          <w:b/>
          <w:sz w:val="32"/>
          <w:szCs w:val="32"/>
        </w:rPr>
      </w:pPr>
      <w:r>
        <w:rPr>
          <w:rFonts w:hint="eastAsia" w:eastAsia="黑体"/>
          <w:b/>
          <w:sz w:val="32"/>
          <w:szCs w:val="32"/>
        </w:rPr>
        <w:t>第一章</w:t>
      </w:r>
      <w:r>
        <w:rPr>
          <w:rFonts w:eastAsia="黑体"/>
          <w:b/>
          <w:sz w:val="32"/>
          <w:szCs w:val="32"/>
        </w:rPr>
        <w:t xml:space="preserve"> </w:t>
      </w:r>
      <w:r>
        <w:rPr>
          <w:rFonts w:hint="eastAsia" w:eastAsia="黑体"/>
          <w:b/>
          <w:sz w:val="32"/>
          <w:szCs w:val="32"/>
        </w:rPr>
        <w:t>总则</w:t>
      </w:r>
    </w:p>
    <w:p>
      <w:pPr>
        <w:spacing w:line="580" w:lineRule="exact"/>
        <w:ind w:firstLine="643" w:firstLineChars="200"/>
        <w:rPr>
          <w:rFonts w:eastAsia="仿宋_GB2312"/>
          <w:sz w:val="32"/>
          <w:szCs w:val="32"/>
        </w:rPr>
      </w:pPr>
      <w:r>
        <w:rPr>
          <w:rFonts w:hint="eastAsia" w:eastAsia="仿宋_GB2312"/>
          <w:b/>
          <w:color w:val="000000"/>
          <w:sz w:val="32"/>
          <w:szCs w:val="32"/>
        </w:rPr>
        <w:t>第一条</w:t>
      </w:r>
      <w:r>
        <w:rPr>
          <w:rFonts w:eastAsia="仿宋_GB2312"/>
          <w:color w:val="000000"/>
          <w:sz w:val="32"/>
          <w:szCs w:val="32"/>
        </w:rPr>
        <w:t xml:space="preserve"> </w:t>
      </w:r>
      <w:r>
        <w:rPr>
          <w:rFonts w:hint="eastAsia" w:eastAsia="仿宋_GB2312"/>
          <w:color w:val="000000"/>
          <w:sz w:val="32"/>
          <w:szCs w:val="32"/>
        </w:rPr>
        <w:t>为加</w:t>
      </w:r>
      <w:r>
        <w:rPr>
          <w:rFonts w:hint="eastAsia" w:eastAsia="仿宋_GB2312"/>
          <w:sz w:val="32"/>
          <w:szCs w:val="32"/>
        </w:rPr>
        <w:t>强新能源汽车推广应用财政资金的管理，提高资金使用效益，根据《关于</w:t>
      </w:r>
      <w:r>
        <w:rPr>
          <w:rFonts w:eastAsia="仿宋_GB2312"/>
          <w:sz w:val="32"/>
          <w:szCs w:val="32"/>
        </w:rPr>
        <w:t>2016-2020</w:t>
      </w:r>
      <w:r>
        <w:rPr>
          <w:rFonts w:hint="eastAsia" w:eastAsia="仿宋_GB2312"/>
          <w:sz w:val="32"/>
          <w:szCs w:val="32"/>
        </w:rPr>
        <w:t>年新能源汽车推广应用财政支持政策的通知》</w:t>
      </w:r>
      <w:r>
        <w:rPr>
          <w:rFonts w:eastAsia="仿宋_GB2312"/>
          <w:sz w:val="32"/>
          <w:szCs w:val="32"/>
        </w:rPr>
        <w:t>(</w:t>
      </w:r>
      <w:r>
        <w:rPr>
          <w:rFonts w:hint="eastAsia" w:eastAsia="仿宋_GB2312"/>
          <w:sz w:val="32"/>
          <w:szCs w:val="32"/>
        </w:rPr>
        <w:t>财建〔</w:t>
      </w:r>
      <w:r>
        <w:rPr>
          <w:rFonts w:eastAsia="仿宋_GB2312"/>
          <w:sz w:val="32"/>
          <w:szCs w:val="32"/>
        </w:rPr>
        <w:t>2015</w:t>
      </w:r>
      <w:r>
        <w:rPr>
          <w:rFonts w:hint="eastAsia" w:eastAsia="仿宋_GB2312"/>
          <w:sz w:val="32"/>
          <w:szCs w:val="32"/>
        </w:rPr>
        <w:t>〕</w:t>
      </w:r>
      <w:r>
        <w:rPr>
          <w:rFonts w:eastAsia="仿宋_GB2312"/>
          <w:sz w:val="32"/>
          <w:szCs w:val="32"/>
        </w:rPr>
        <w:t>134</w:t>
      </w:r>
      <w:r>
        <w:rPr>
          <w:rFonts w:hint="eastAsia" w:eastAsia="仿宋_GB2312"/>
          <w:sz w:val="32"/>
          <w:szCs w:val="32"/>
        </w:rPr>
        <w:t>号</w:t>
      </w:r>
      <w:r>
        <w:rPr>
          <w:rFonts w:eastAsia="仿宋_GB2312"/>
          <w:sz w:val="32"/>
          <w:szCs w:val="32"/>
        </w:rPr>
        <w:t>)</w:t>
      </w:r>
      <w:r>
        <w:rPr>
          <w:rFonts w:hint="eastAsia" w:eastAsia="仿宋_GB2312"/>
          <w:sz w:val="32"/>
          <w:szCs w:val="32"/>
        </w:rPr>
        <w:t>、《关于调整新能源汽车推广应用财政补贴政策的通知》</w:t>
      </w:r>
      <w:r>
        <w:rPr>
          <w:rFonts w:eastAsia="仿宋_GB2312"/>
          <w:sz w:val="32"/>
          <w:szCs w:val="32"/>
        </w:rPr>
        <w:t>(</w:t>
      </w:r>
      <w:r>
        <w:rPr>
          <w:rFonts w:hint="eastAsia" w:eastAsia="仿宋_GB2312"/>
          <w:sz w:val="32"/>
          <w:szCs w:val="32"/>
        </w:rPr>
        <w:t>财建〔</w:t>
      </w:r>
      <w:r>
        <w:rPr>
          <w:rFonts w:eastAsia="仿宋_GB2312"/>
          <w:sz w:val="32"/>
          <w:szCs w:val="32"/>
        </w:rPr>
        <w:t>2016</w:t>
      </w:r>
      <w:r>
        <w:rPr>
          <w:rFonts w:hint="eastAsia" w:eastAsia="仿宋_GB2312"/>
          <w:sz w:val="32"/>
          <w:szCs w:val="32"/>
        </w:rPr>
        <w:t>〕</w:t>
      </w:r>
      <w:r>
        <w:rPr>
          <w:rFonts w:eastAsia="仿宋_GB2312"/>
          <w:sz w:val="32"/>
          <w:szCs w:val="32"/>
        </w:rPr>
        <w:t>958</w:t>
      </w:r>
      <w:r>
        <w:rPr>
          <w:rFonts w:hint="eastAsia" w:eastAsia="仿宋_GB2312"/>
          <w:sz w:val="32"/>
          <w:szCs w:val="32"/>
        </w:rPr>
        <w:t>号</w:t>
      </w:r>
      <w:r>
        <w:rPr>
          <w:rFonts w:eastAsia="仿宋_GB2312"/>
          <w:sz w:val="32"/>
          <w:szCs w:val="32"/>
        </w:rPr>
        <w:t>)</w:t>
      </w:r>
      <w:r>
        <w:rPr>
          <w:rFonts w:hint="eastAsia" w:eastAsia="仿宋_GB2312"/>
          <w:sz w:val="32"/>
          <w:szCs w:val="32"/>
        </w:rPr>
        <w:t>、《关于调整完善新能源汽车推广应用财政补贴政策的通知》</w:t>
      </w:r>
      <w:r>
        <w:rPr>
          <w:rFonts w:eastAsia="仿宋_GB2312"/>
          <w:sz w:val="32"/>
          <w:szCs w:val="32"/>
        </w:rPr>
        <w:t>(</w:t>
      </w:r>
      <w:r>
        <w:rPr>
          <w:rFonts w:hint="eastAsia" w:eastAsia="仿宋_GB2312"/>
          <w:sz w:val="32"/>
          <w:szCs w:val="32"/>
        </w:rPr>
        <w:t>财建〔</w:t>
      </w:r>
      <w:r>
        <w:rPr>
          <w:rFonts w:eastAsia="仿宋_GB2312"/>
          <w:sz w:val="32"/>
          <w:szCs w:val="32"/>
        </w:rPr>
        <w:t>2018</w:t>
      </w:r>
      <w:r>
        <w:rPr>
          <w:rFonts w:hint="eastAsia" w:eastAsia="仿宋_GB2312"/>
          <w:sz w:val="32"/>
          <w:szCs w:val="32"/>
        </w:rPr>
        <w:t>〕</w:t>
      </w:r>
      <w:r>
        <w:rPr>
          <w:rFonts w:eastAsia="仿宋_GB2312"/>
          <w:sz w:val="32"/>
          <w:szCs w:val="32"/>
        </w:rPr>
        <w:t>18</w:t>
      </w:r>
      <w:r>
        <w:rPr>
          <w:rFonts w:hint="eastAsia" w:eastAsia="仿宋_GB2312"/>
          <w:sz w:val="32"/>
          <w:szCs w:val="32"/>
        </w:rPr>
        <w:t>号</w:t>
      </w:r>
      <w:r>
        <w:rPr>
          <w:rFonts w:eastAsia="仿宋_GB2312"/>
          <w:sz w:val="32"/>
          <w:szCs w:val="32"/>
        </w:rPr>
        <w:t>)</w:t>
      </w:r>
      <w:r>
        <w:rPr>
          <w:rFonts w:hint="eastAsia" w:eastAsia="仿宋_GB2312"/>
          <w:sz w:val="32"/>
          <w:szCs w:val="32"/>
        </w:rPr>
        <w:t>、《</w:t>
      </w:r>
      <w:r>
        <w:rPr>
          <w:rFonts w:eastAsia="仿宋_GB2312"/>
          <w:sz w:val="32"/>
          <w:szCs w:val="32"/>
        </w:rPr>
        <w:t>关于进一步完善新能源汽车推广应用财政补贴政策的通知</w:t>
      </w:r>
      <w:r>
        <w:rPr>
          <w:rFonts w:hint="eastAsia" w:eastAsia="仿宋_GB2312"/>
          <w:sz w:val="32"/>
          <w:szCs w:val="32"/>
        </w:rPr>
        <w:t>》</w:t>
      </w:r>
      <w:r>
        <w:rPr>
          <w:rFonts w:eastAsia="仿宋_GB2312"/>
          <w:sz w:val="32"/>
          <w:szCs w:val="32"/>
        </w:rPr>
        <w:t>(</w:t>
      </w:r>
      <w:r>
        <w:rPr>
          <w:rFonts w:hint="eastAsia" w:eastAsia="仿宋_GB2312"/>
          <w:sz w:val="32"/>
          <w:szCs w:val="32"/>
        </w:rPr>
        <w:t>财建〔</w:t>
      </w:r>
      <w:r>
        <w:rPr>
          <w:rFonts w:eastAsia="仿宋_GB2312"/>
          <w:sz w:val="32"/>
          <w:szCs w:val="32"/>
        </w:rPr>
        <w:t>201</w:t>
      </w:r>
      <w:r>
        <w:rPr>
          <w:rFonts w:hint="eastAsia" w:eastAsia="仿宋_GB2312"/>
          <w:sz w:val="32"/>
          <w:szCs w:val="32"/>
        </w:rPr>
        <w:t>9〕</w:t>
      </w:r>
      <w:r>
        <w:rPr>
          <w:rFonts w:eastAsia="仿宋_GB2312"/>
          <w:sz w:val="32"/>
          <w:szCs w:val="32"/>
        </w:rPr>
        <w:t>1</w:t>
      </w:r>
      <w:r>
        <w:rPr>
          <w:rFonts w:hint="eastAsia" w:eastAsia="仿宋_GB2312"/>
          <w:sz w:val="32"/>
          <w:szCs w:val="32"/>
        </w:rPr>
        <w:t>3</w:t>
      </w:r>
      <w:r>
        <w:rPr>
          <w:rFonts w:eastAsia="仿宋_GB2312"/>
          <w:sz w:val="32"/>
          <w:szCs w:val="32"/>
        </w:rPr>
        <w:t>8</w:t>
      </w:r>
      <w:r>
        <w:rPr>
          <w:rFonts w:hint="eastAsia" w:eastAsia="仿宋_GB2312"/>
          <w:sz w:val="32"/>
          <w:szCs w:val="32"/>
        </w:rPr>
        <w:t>号</w:t>
      </w:r>
      <w:r>
        <w:rPr>
          <w:rFonts w:eastAsia="仿宋_GB2312"/>
          <w:sz w:val="32"/>
          <w:szCs w:val="32"/>
        </w:rPr>
        <w:t>)</w:t>
      </w:r>
      <w:r>
        <w:rPr>
          <w:rFonts w:hint="eastAsia" w:eastAsia="仿宋_GB2312"/>
          <w:sz w:val="32"/>
          <w:szCs w:val="32"/>
        </w:rPr>
        <w:t>、《关于支持新能源公交车推广应用的通知》</w:t>
      </w:r>
      <w:r>
        <w:rPr>
          <w:rFonts w:eastAsia="仿宋_GB2312"/>
          <w:sz w:val="32"/>
          <w:szCs w:val="32"/>
        </w:rPr>
        <w:t>(</w:t>
      </w:r>
      <w:r>
        <w:rPr>
          <w:rFonts w:hint="eastAsia" w:eastAsia="仿宋_GB2312"/>
          <w:sz w:val="32"/>
          <w:szCs w:val="32"/>
        </w:rPr>
        <w:t>财建〔</w:t>
      </w:r>
      <w:r>
        <w:rPr>
          <w:rFonts w:eastAsia="仿宋_GB2312"/>
          <w:sz w:val="32"/>
          <w:szCs w:val="32"/>
        </w:rPr>
        <w:t>201</w:t>
      </w:r>
      <w:r>
        <w:rPr>
          <w:rFonts w:hint="eastAsia" w:eastAsia="仿宋_GB2312"/>
          <w:sz w:val="32"/>
          <w:szCs w:val="32"/>
        </w:rPr>
        <w:t>9〕213号</w:t>
      </w:r>
      <w:r>
        <w:rPr>
          <w:rFonts w:eastAsia="仿宋_GB2312"/>
          <w:sz w:val="32"/>
          <w:szCs w:val="32"/>
        </w:rPr>
        <w:t>)</w:t>
      </w:r>
      <w:r>
        <w:rPr>
          <w:rFonts w:hint="eastAsia" w:eastAsia="仿宋_GB2312"/>
          <w:sz w:val="32"/>
          <w:szCs w:val="32"/>
        </w:rPr>
        <w:t>、《关于加快新能源汽车推广应用的实施意见》</w:t>
      </w:r>
      <w:r>
        <w:rPr>
          <w:rFonts w:eastAsia="仿宋_GB2312"/>
          <w:sz w:val="32"/>
          <w:szCs w:val="32"/>
        </w:rPr>
        <w:t>(</w:t>
      </w:r>
      <w:r>
        <w:rPr>
          <w:rFonts w:hint="eastAsia" w:eastAsia="仿宋_GB2312"/>
          <w:sz w:val="32"/>
          <w:szCs w:val="32"/>
        </w:rPr>
        <w:t>粤府办〔</w:t>
      </w:r>
      <w:r>
        <w:rPr>
          <w:rFonts w:eastAsia="仿宋_GB2312"/>
          <w:sz w:val="32"/>
          <w:szCs w:val="32"/>
        </w:rPr>
        <w:t>2016</w:t>
      </w:r>
      <w:r>
        <w:rPr>
          <w:rFonts w:hint="eastAsia" w:eastAsia="仿宋_GB2312"/>
          <w:sz w:val="32"/>
          <w:szCs w:val="32"/>
        </w:rPr>
        <w:t>〕</w:t>
      </w:r>
      <w:r>
        <w:rPr>
          <w:rFonts w:eastAsia="仿宋_GB2312"/>
          <w:sz w:val="32"/>
          <w:szCs w:val="32"/>
        </w:rPr>
        <w:t>23</w:t>
      </w:r>
      <w:r>
        <w:rPr>
          <w:rFonts w:hint="eastAsia" w:eastAsia="仿宋_GB2312"/>
          <w:sz w:val="32"/>
          <w:szCs w:val="32"/>
        </w:rPr>
        <w:t>号</w:t>
      </w:r>
      <w:r>
        <w:rPr>
          <w:rFonts w:eastAsia="仿宋_GB2312"/>
          <w:sz w:val="32"/>
          <w:szCs w:val="32"/>
        </w:rPr>
        <w:t>)</w:t>
      </w:r>
      <w:r>
        <w:rPr>
          <w:rFonts w:hint="eastAsia" w:eastAsia="仿宋_GB2312"/>
          <w:sz w:val="32"/>
          <w:szCs w:val="32"/>
        </w:rPr>
        <w:t>、《关于做好广东省新能源汽车推广应用地方财政补贴工作的通知》</w:t>
      </w:r>
      <w:r>
        <w:rPr>
          <w:rFonts w:eastAsia="仿宋_GB2312"/>
          <w:sz w:val="32"/>
          <w:szCs w:val="32"/>
        </w:rPr>
        <w:t>(</w:t>
      </w:r>
      <w:r>
        <w:rPr>
          <w:rFonts w:hint="eastAsia" w:eastAsia="仿宋_GB2312"/>
          <w:sz w:val="32"/>
          <w:szCs w:val="32"/>
        </w:rPr>
        <w:t>粤发改产业函〔</w:t>
      </w:r>
      <w:r>
        <w:rPr>
          <w:rFonts w:eastAsia="仿宋_GB2312"/>
          <w:sz w:val="32"/>
          <w:szCs w:val="32"/>
        </w:rPr>
        <w:t>2018</w:t>
      </w:r>
      <w:r>
        <w:rPr>
          <w:rFonts w:hint="eastAsia" w:eastAsia="仿宋_GB2312"/>
          <w:sz w:val="32"/>
          <w:szCs w:val="32"/>
        </w:rPr>
        <w:t>〕</w:t>
      </w:r>
      <w:r>
        <w:rPr>
          <w:rFonts w:eastAsia="仿宋_GB2312"/>
          <w:sz w:val="32"/>
          <w:szCs w:val="32"/>
        </w:rPr>
        <w:t>518</w:t>
      </w:r>
      <w:r>
        <w:rPr>
          <w:rFonts w:hint="eastAsia" w:eastAsia="仿宋_GB2312"/>
          <w:sz w:val="32"/>
          <w:szCs w:val="32"/>
        </w:rPr>
        <w:t>号</w:t>
      </w:r>
      <w:r>
        <w:rPr>
          <w:rFonts w:eastAsia="仿宋_GB2312"/>
          <w:sz w:val="32"/>
          <w:szCs w:val="32"/>
        </w:rPr>
        <w:t>)</w:t>
      </w:r>
      <w:r>
        <w:rPr>
          <w:rFonts w:hint="eastAsia" w:eastAsia="仿宋_GB2312"/>
          <w:sz w:val="32"/>
          <w:szCs w:val="32"/>
        </w:rPr>
        <w:t>、《关于加快推进东莞市新能源汽车推广应用的实施意见》</w:t>
      </w:r>
      <w:r>
        <w:rPr>
          <w:rFonts w:eastAsia="仿宋_GB2312"/>
          <w:sz w:val="32"/>
          <w:szCs w:val="32"/>
        </w:rPr>
        <w:t>(</w:t>
      </w:r>
      <w:r>
        <w:rPr>
          <w:rFonts w:hint="eastAsia" w:eastAsia="仿宋_GB2312"/>
          <w:sz w:val="32"/>
          <w:szCs w:val="32"/>
        </w:rPr>
        <w:t>东府办〔</w:t>
      </w:r>
      <w:r>
        <w:rPr>
          <w:rFonts w:eastAsia="仿宋_GB2312"/>
          <w:sz w:val="32"/>
          <w:szCs w:val="32"/>
        </w:rPr>
        <w:t>2015</w:t>
      </w:r>
      <w:r>
        <w:rPr>
          <w:rFonts w:hint="eastAsia" w:eastAsia="仿宋_GB2312"/>
          <w:sz w:val="32"/>
          <w:szCs w:val="32"/>
        </w:rPr>
        <w:t>〕</w:t>
      </w:r>
      <w:r>
        <w:rPr>
          <w:rFonts w:eastAsia="仿宋_GB2312"/>
          <w:sz w:val="32"/>
          <w:szCs w:val="32"/>
        </w:rPr>
        <w:t>62</w:t>
      </w:r>
      <w:r>
        <w:rPr>
          <w:rFonts w:hint="eastAsia" w:eastAsia="仿宋_GB2312"/>
          <w:sz w:val="32"/>
          <w:szCs w:val="32"/>
        </w:rPr>
        <w:t>号</w:t>
      </w:r>
      <w:r>
        <w:rPr>
          <w:rFonts w:eastAsia="仿宋_GB2312"/>
          <w:sz w:val="32"/>
          <w:szCs w:val="32"/>
        </w:rPr>
        <w:t>)</w:t>
      </w:r>
      <w:r>
        <w:rPr>
          <w:rFonts w:hint="eastAsia" w:eastAsia="仿宋_GB2312"/>
          <w:sz w:val="32"/>
          <w:szCs w:val="32"/>
        </w:rPr>
        <w:t>等规定，制定本办法。</w:t>
      </w:r>
    </w:p>
    <w:p>
      <w:pPr>
        <w:spacing w:line="580" w:lineRule="exact"/>
        <w:ind w:firstLine="643" w:firstLineChars="200"/>
        <w:rPr>
          <w:rFonts w:eastAsia="仿宋_GB2312"/>
          <w:sz w:val="32"/>
          <w:szCs w:val="32"/>
        </w:rPr>
      </w:pPr>
      <w:r>
        <w:rPr>
          <w:rFonts w:hint="eastAsia" w:eastAsia="仿宋_GB2312"/>
          <w:b/>
          <w:sz w:val="32"/>
          <w:szCs w:val="32"/>
        </w:rPr>
        <w:t>第二条</w:t>
      </w:r>
      <w:r>
        <w:rPr>
          <w:rFonts w:eastAsia="仿宋_GB2312"/>
          <w:sz w:val="32"/>
          <w:szCs w:val="32"/>
        </w:rPr>
        <w:t xml:space="preserve"> </w:t>
      </w:r>
      <w:r>
        <w:rPr>
          <w:rFonts w:hint="eastAsia" w:eastAsia="仿宋_GB2312"/>
          <w:sz w:val="32"/>
          <w:szCs w:val="32"/>
        </w:rPr>
        <w:t>本办法所称的新能源汽车推广应用资金，是指市财政预算安排用于我市新能源汽车推广应用补贴和充电设施建设补贴的资金，</w:t>
      </w:r>
      <w:r>
        <w:rPr>
          <w:rFonts w:hint="eastAsia" w:eastAsia="仿宋_GB2312"/>
          <w:kern w:val="0"/>
          <w:sz w:val="32"/>
          <w:szCs w:val="32"/>
        </w:rPr>
        <w:t>可用于支持新能源汽车产业发展、技术进步、购置、</w:t>
      </w:r>
      <w:r>
        <w:rPr>
          <w:rFonts w:hint="eastAsia" w:eastAsia="仿宋_GB2312"/>
          <w:sz w:val="32"/>
          <w:szCs w:val="32"/>
        </w:rPr>
        <w:t>运营、租赁、使用、充电、停车、维护，电动汽车充换电设施建设、运营、改造，燃料电池汽车及加氢设施建设、运营、改造，以及相关智能平台和</w:t>
      </w:r>
      <w:r>
        <w:rPr>
          <w:rFonts w:hint="eastAsia" w:eastAsia="仿宋_GB2312"/>
          <w:kern w:val="0"/>
          <w:sz w:val="32"/>
          <w:szCs w:val="32"/>
        </w:rPr>
        <w:t>运营监控系统建设运维等。</w:t>
      </w:r>
    </w:p>
    <w:p>
      <w:pPr>
        <w:spacing w:line="580" w:lineRule="exact"/>
        <w:ind w:firstLine="643" w:firstLineChars="200"/>
        <w:rPr>
          <w:rFonts w:eastAsia="仿宋_GB2312"/>
          <w:sz w:val="32"/>
          <w:szCs w:val="32"/>
        </w:rPr>
      </w:pPr>
      <w:r>
        <w:rPr>
          <w:rFonts w:hint="eastAsia" w:eastAsia="仿宋_GB2312"/>
          <w:b/>
          <w:sz w:val="32"/>
          <w:szCs w:val="32"/>
        </w:rPr>
        <w:t>第三条</w:t>
      </w:r>
      <w:r>
        <w:rPr>
          <w:rFonts w:eastAsia="仿宋_GB2312"/>
          <w:sz w:val="32"/>
          <w:szCs w:val="32"/>
        </w:rPr>
        <w:t xml:space="preserve"> </w:t>
      </w:r>
      <w:r>
        <w:rPr>
          <w:rFonts w:hint="eastAsia" w:eastAsia="仿宋_GB2312"/>
          <w:sz w:val="32"/>
          <w:szCs w:val="32"/>
        </w:rPr>
        <w:t>中央财政和省财政下达安排用于新能源汽车推广应用和充电设施的相关资金，按照中央、省有关规定执行。</w:t>
      </w:r>
    </w:p>
    <w:p>
      <w:pPr>
        <w:spacing w:line="580" w:lineRule="exact"/>
        <w:ind w:firstLine="643" w:firstLineChars="200"/>
        <w:rPr>
          <w:rFonts w:eastAsia="仿宋_GB2312"/>
          <w:sz w:val="32"/>
          <w:szCs w:val="32"/>
        </w:rPr>
      </w:pPr>
      <w:r>
        <w:rPr>
          <w:rFonts w:hint="eastAsia" w:eastAsia="仿宋_GB2312"/>
          <w:b/>
          <w:sz w:val="32"/>
          <w:szCs w:val="32"/>
        </w:rPr>
        <w:t>第四条</w:t>
      </w:r>
      <w:r>
        <w:rPr>
          <w:rFonts w:eastAsia="仿宋_GB2312"/>
          <w:sz w:val="32"/>
          <w:szCs w:val="32"/>
        </w:rPr>
        <w:t xml:space="preserve"> </w:t>
      </w:r>
      <w:r>
        <w:rPr>
          <w:rFonts w:hint="eastAsia" w:eastAsia="仿宋_GB2312"/>
          <w:sz w:val="32"/>
          <w:szCs w:val="32"/>
        </w:rPr>
        <w:t>新能源汽车推广应用资金的安排，遵循公平公正公开、依法依规、突出重点、科学分配的原则。</w:t>
      </w:r>
    </w:p>
    <w:p>
      <w:pPr>
        <w:spacing w:line="580" w:lineRule="exact"/>
        <w:ind w:firstLine="643" w:firstLineChars="200"/>
        <w:jc w:val="center"/>
        <w:rPr>
          <w:rFonts w:eastAsia="黑体"/>
          <w:b/>
          <w:sz w:val="32"/>
          <w:szCs w:val="32"/>
        </w:rPr>
      </w:pPr>
      <w:r>
        <w:rPr>
          <w:rFonts w:hint="eastAsia" w:eastAsia="黑体"/>
          <w:b/>
          <w:sz w:val="32"/>
          <w:szCs w:val="32"/>
        </w:rPr>
        <w:t>第二章</w:t>
      </w:r>
      <w:r>
        <w:rPr>
          <w:rFonts w:eastAsia="黑体"/>
          <w:b/>
          <w:sz w:val="32"/>
          <w:szCs w:val="32"/>
        </w:rPr>
        <w:t xml:space="preserve"> </w:t>
      </w:r>
      <w:r>
        <w:rPr>
          <w:rFonts w:hint="eastAsia" w:eastAsia="黑体"/>
          <w:b/>
          <w:sz w:val="32"/>
          <w:szCs w:val="32"/>
        </w:rPr>
        <w:t>单位职责</w:t>
      </w:r>
    </w:p>
    <w:p>
      <w:pPr>
        <w:spacing w:line="580" w:lineRule="exact"/>
        <w:ind w:firstLine="643" w:firstLineChars="200"/>
        <w:rPr>
          <w:rFonts w:eastAsia="仿宋_GB2312"/>
          <w:sz w:val="32"/>
          <w:szCs w:val="32"/>
        </w:rPr>
      </w:pPr>
      <w:r>
        <w:rPr>
          <w:rFonts w:hint="eastAsia" w:eastAsia="仿宋_GB2312"/>
          <w:b/>
          <w:sz w:val="32"/>
          <w:szCs w:val="32"/>
        </w:rPr>
        <w:t>第五条</w:t>
      </w:r>
      <w:r>
        <w:rPr>
          <w:rFonts w:eastAsia="仿宋_GB2312"/>
          <w:sz w:val="32"/>
          <w:szCs w:val="32"/>
        </w:rPr>
        <w:t xml:space="preserve"> </w:t>
      </w:r>
      <w:r>
        <w:rPr>
          <w:rFonts w:hint="eastAsia" w:eastAsia="仿宋_GB2312"/>
          <w:sz w:val="32"/>
          <w:szCs w:val="32"/>
        </w:rPr>
        <w:t>东莞市新能源汽车工作联席会议办公室负责统筹推进新能源汽车推广应用和充电设施规划建设工作，牵头完善相关政策。</w:t>
      </w:r>
    </w:p>
    <w:p>
      <w:pPr>
        <w:spacing w:line="580" w:lineRule="exact"/>
        <w:ind w:firstLine="643" w:firstLineChars="200"/>
        <w:rPr>
          <w:rFonts w:eastAsia="仿宋_GB2312"/>
          <w:sz w:val="32"/>
          <w:szCs w:val="32"/>
        </w:rPr>
      </w:pPr>
      <w:r>
        <w:rPr>
          <w:rFonts w:hint="eastAsia" w:eastAsia="仿宋_GB2312"/>
          <w:b/>
          <w:sz w:val="32"/>
          <w:szCs w:val="32"/>
        </w:rPr>
        <w:t>第六条</w:t>
      </w:r>
      <w:r>
        <w:rPr>
          <w:rFonts w:eastAsia="仿宋_GB2312"/>
          <w:sz w:val="32"/>
          <w:szCs w:val="32"/>
        </w:rPr>
        <w:t xml:space="preserve"> </w:t>
      </w:r>
      <w:r>
        <w:rPr>
          <w:rFonts w:hint="eastAsia" w:eastAsia="仿宋_GB2312"/>
          <w:sz w:val="32"/>
          <w:szCs w:val="32"/>
        </w:rPr>
        <w:t>东莞市发展和改革局按分工负责专项资金的具体管理工作，负责专项资金具体管理办法的制定修订、专项资金设立调整申请、专项资金预算申报、编制专项资金分配使用计划、办理专项资金拨付，组织项目申报、资料审查及评审、组织项目验收。</w:t>
      </w:r>
    </w:p>
    <w:p>
      <w:pPr>
        <w:spacing w:line="580" w:lineRule="exact"/>
        <w:ind w:firstLine="643" w:firstLineChars="200"/>
        <w:rPr>
          <w:rFonts w:eastAsia="仿宋_GB2312"/>
          <w:sz w:val="32"/>
          <w:szCs w:val="32"/>
        </w:rPr>
      </w:pPr>
      <w:r>
        <w:rPr>
          <w:rFonts w:hint="eastAsia" w:eastAsia="仿宋_GB2312"/>
          <w:b/>
          <w:sz w:val="32"/>
          <w:szCs w:val="32"/>
        </w:rPr>
        <w:t>第七条</w:t>
      </w:r>
      <w:r>
        <w:rPr>
          <w:rFonts w:eastAsia="仿宋_GB2312"/>
          <w:sz w:val="32"/>
          <w:szCs w:val="32"/>
        </w:rPr>
        <w:t xml:space="preserve"> </w:t>
      </w:r>
      <w:r>
        <w:rPr>
          <w:rFonts w:hint="eastAsia" w:eastAsia="仿宋_GB2312"/>
          <w:sz w:val="32"/>
          <w:szCs w:val="32"/>
        </w:rPr>
        <w:t>东莞市财政局负责制定财政补贴资金的预算管理、组织专项资金预算编制及执行、审核有关市级业务主管部门编制的专项资金安排计划的合规性、组织实施专项资金财政监督检查和重点绩效评价等。</w:t>
      </w:r>
    </w:p>
    <w:p>
      <w:pPr>
        <w:spacing w:line="580" w:lineRule="exact"/>
        <w:ind w:firstLine="643" w:firstLineChars="200"/>
        <w:rPr>
          <w:rFonts w:eastAsia="仿宋_GB2312"/>
          <w:sz w:val="32"/>
          <w:szCs w:val="32"/>
        </w:rPr>
      </w:pPr>
      <w:r>
        <w:rPr>
          <w:rFonts w:hint="eastAsia" w:eastAsia="仿宋_GB2312"/>
          <w:b/>
          <w:sz w:val="32"/>
          <w:szCs w:val="32"/>
        </w:rPr>
        <w:t>第八条</w:t>
      </w:r>
      <w:r>
        <w:rPr>
          <w:rFonts w:eastAsia="仿宋_GB2312"/>
          <w:sz w:val="32"/>
          <w:szCs w:val="32"/>
        </w:rPr>
        <w:t xml:space="preserve"> </w:t>
      </w:r>
      <w:r>
        <w:rPr>
          <w:rFonts w:hint="eastAsia" w:eastAsia="仿宋_GB2312"/>
          <w:sz w:val="32"/>
          <w:szCs w:val="32"/>
        </w:rPr>
        <w:t>东莞市新能源汽车工作联席会议的其他成员单位，根据新能源汽车推广应用的具体职责分工及时提出推广应用资金使用计划建议，共同做好推广应用的监督和管理。</w:t>
      </w:r>
    </w:p>
    <w:p>
      <w:pPr>
        <w:spacing w:line="580" w:lineRule="exact"/>
        <w:ind w:firstLine="643" w:firstLineChars="200"/>
        <w:jc w:val="center"/>
        <w:rPr>
          <w:rFonts w:eastAsia="黑体"/>
          <w:b/>
          <w:sz w:val="32"/>
          <w:szCs w:val="32"/>
        </w:rPr>
      </w:pPr>
      <w:r>
        <w:rPr>
          <w:rFonts w:hint="eastAsia" w:eastAsia="黑体"/>
          <w:b/>
          <w:sz w:val="32"/>
          <w:szCs w:val="32"/>
        </w:rPr>
        <w:t>第三章</w:t>
      </w:r>
      <w:r>
        <w:rPr>
          <w:rFonts w:eastAsia="黑体"/>
          <w:b/>
          <w:sz w:val="32"/>
          <w:szCs w:val="32"/>
        </w:rPr>
        <w:t xml:space="preserve"> </w:t>
      </w:r>
      <w:r>
        <w:rPr>
          <w:rFonts w:hint="eastAsia" w:eastAsia="黑体"/>
          <w:b/>
          <w:sz w:val="32"/>
          <w:szCs w:val="32"/>
        </w:rPr>
        <w:t>补贴范围</w:t>
      </w:r>
    </w:p>
    <w:p>
      <w:pPr>
        <w:spacing w:line="580" w:lineRule="exact"/>
        <w:ind w:firstLine="643" w:firstLineChars="200"/>
        <w:rPr>
          <w:rFonts w:eastAsia="仿宋_GB2312"/>
          <w:sz w:val="32"/>
          <w:szCs w:val="32"/>
        </w:rPr>
      </w:pPr>
      <w:r>
        <w:rPr>
          <w:rFonts w:hint="eastAsia" w:eastAsia="仿宋_GB2312"/>
          <w:b/>
          <w:sz w:val="32"/>
          <w:szCs w:val="32"/>
        </w:rPr>
        <w:t>第九条</w:t>
      </w:r>
      <w:r>
        <w:rPr>
          <w:rFonts w:eastAsia="仿宋_GB2312"/>
          <w:sz w:val="32"/>
          <w:szCs w:val="32"/>
        </w:rPr>
        <w:t xml:space="preserve"> </w:t>
      </w:r>
      <w:r>
        <w:rPr>
          <w:rFonts w:hint="eastAsia" w:eastAsia="仿宋_GB2312"/>
          <w:sz w:val="32"/>
          <w:szCs w:val="32"/>
        </w:rPr>
        <w:t>本办法所称的新能源汽车，是指按照《关于</w:t>
      </w:r>
      <w:r>
        <w:rPr>
          <w:rFonts w:eastAsia="仿宋_GB2312"/>
          <w:sz w:val="32"/>
          <w:szCs w:val="32"/>
        </w:rPr>
        <w:t>2016-2020</w:t>
      </w:r>
      <w:r>
        <w:rPr>
          <w:rFonts w:hint="eastAsia" w:eastAsia="仿宋_GB2312"/>
          <w:sz w:val="32"/>
          <w:szCs w:val="32"/>
        </w:rPr>
        <w:t>年新能源汽车推广应用财政支持政策的通知》</w:t>
      </w:r>
      <w:r>
        <w:rPr>
          <w:rFonts w:eastAsia="仿宋_GB2312"/>
          <w:sz w:val="32"/>
          <w:szCs w:val="32"/>
        </w:rPr>
        <w:t>(</w:t>
      </w:r>
      <w:r>
        <w:rPr>
          <w:rFonts w:hint="eastAsia" w:eastAsia="仿宋_GB2312"/>
          <w:sz w:val="32"/>
          <w:szCs w:val="32"/>
        </w:rPr>
        <w:t>财建〔</w:t>
      </w:r>
      <w:r>
        <w:rPr>
          <w:rFonts w:eastAsia="仿宋_GB2312"/>
          <w:sz w:val="32"/>
          <w:szCs w:val="32"/>
        </w:rPr>
        <w:t>2015</w:t>
      </w:r>
      <w:r>
        <w:rPr>
          <w:rFonts w:hint="eastAsia" w:eastAsia="仿宋_GB2312"/>
          <w:sz w:val="32"/>
          <w:szCs w:val="32"/>
        </w:rPr>
        <w:t>〕</w:t>
      </w:r>
      <w:r>
        <w:rPr>
          <w:rFonts w:eastAsia="仿宋_GB2312"/>
          <w:sz w:val="32"/>
          <w:szCs w:val="32"/>
        </w:rPr>
        <w:t>134</w:t>
      </w:r>
      <w:r>
        <w:rPr>
          <w:rFonts w:hint="eastAsia" w:eastAsia="仿宋_GB2312"/>
          <w:sz w:val="32"/>
          <w:szCs w:val="32"/>
        </w:rPr>
        <w:t>号</w:t>
      </w:r>
      <w:r>
        <w:rPr>
          <w:rFonts w:eastAsia="仿宋_GB2312"/>
          <w:sz w:val="32"/>
          <w:szCs w:val="32"/>
        </w:rPr>
        <w:t>)</w:t>
      </w:r>
      <w:r>
        <w:rPr>
          <w:rFonts w:hint="eastAsia" w:eastAsia="仿宋_GB2312"/>
          <w:sz w:val="32"/>
          <w:szCs w:val="32"/>
        </w:rPr>
        <w:t>、《关于调整新能源汽车推广应用财政补贴政策的通知》</w:t>
      </w:r>
      <w:r>
        <w:rPr>
          <w:rFonts w:eastAsia="仿宋_GB2312"/>
          <w:sz w:val="32"/>
          <w:szCs w:val="32"/>
        </w:rPr>
        <w:t>(</w:t>
      </w:r>
      <w:r>
        <w:rPr>
          <w:rFonts w:hint="eastAsia" w:eastAsia="仿宋_GB2312"/>
          <w:sz w:val="32"/>
          <w:szCs w:val="32"/>
        </w:rPr>
        <w:t>财建〔</w:t>
      </w:r>
      <w:r>
        <w:rPr>
          <w:rFonts w:eastAsia="仿宋_GB2312"/>
          <w:sz w:val="32"/>
          <w:szCs w:val="32"/>
        </w:rPr>
        <w:t>2016</w:t>
      </w:r>
      <w:r>
        <w:rPr>
          <w:rFonts w:hint="eastAsia" w:eastAsia="仿宋_GB2312"/>
          <w:sz w:val="32"/>
          <w:szCs w:val="32"/>
        </w:rPr>
        <w:t>〕</w:t>
      </w:r>
      <w:r>
        <w:rPr>
          <w:rFonts w:eastAsia="仿宋_GB2312"/>
          <w:sz w:val="32"/>
          <w:szCs w:val="32"/>
        </w:rPr>
        <w:t>958</w:t>
      </w:r>
      <w:r>
        <w:rPr>
          <w:rFonts w:hint="eastAsia" w:eastAsia="仿宋_GB2312"/>
          <w:sz w:val="32"/>
          <w:szCs w:val="32"/>
        </w:rPr>
        <w:t>号</w:t>
      </w:r>
      <w:r>
        <w:rPr>
          <w:rFonts w:eastAsia="仿宋_GB2312"/>
          <w:sz w:val="32"/>
          <w:szCs w:val="32"/>
        </w:rPr>
        <w:t>)</w:t>
      </w:r>
      <w:r>
        <w:rPr>
          <w:rFonts w:hint="eastAsia" w:eastAsia="仿宋_GB2312"/>
          <w:sz w:val="32"/>
          <w:szCs w:val="32"/>
        </w:rPr>
        <w:t>、《关于调整完善新能源汽车推广应用财政补贴政策的通知》</w:t>
      </w:r>
      <w:r>
        <w:rPr>
          <w:rFonts w:eastAsia="仿宋_GB2312"/>
          <w:sz w:val="32"/>
          <w:szCs w:val="32"/>
        </w:rPr>
        <w:t>(</w:t>
      </w:r>
      <w:r>
        <w:rPr>
          <w:rFonts w:hint="eastAsia" w:eastAsia="仿宋_GB2312"/>
          <w:sz w:val="32"/>
          <w:szCs w:val="32"/>
        </w:rPr>
        <w:t>财建〔</w:t>
      </w:r>
      <w:r>
        <w:rPr>
          <w:rFonts w:eastAsia="仿宋_GB2312"/>
          <w:sz w:val="32"/>
          <w:szCs w:val="32"/>
        </w:rPr>
        <w:t>2018</w:t>
      </w:r>
      <w:r>
        <w:rPr>
          <w:rFonts w:hint="eastAsia" w:eastAsia="仿宋_GB2312"/>
          <w:sz w:val="32"/>
          <w:szCs w:val="32"/>
        </w:rPr>
        <w:t>〕</w:t>
      </w:r>
      <w:r>
        <w:rPr>
          <w:rFonts w:eastAsia="仿宋_GB2312"/>
          <w:sz w:val="32"/>
          <w:szCs w:val="32"/>
        </w:rPr>
        <w:t>18</w:t>
      </w:r>
      <w:r>
        <w:rPr>
          <w:rFonts w:hint="eastAsia" w:eastAsia="仿宋_GB2312"/>
          <w:sz w:val="32"/>
          <w:szCs w:val="32"/>
        </w:rPr>
        <w:t>号</w:t>
      </w:r>
      <w:r>
        <w:rPr>
          <w:rFonts w:eastAsia="仿宋_GB2312"/>
          <w:sz w:val="32"/>
          <w:szCs w:val="32"/>
        </w:rPr>
        <w:t>)</w:t>
      </w:r>
      <w:r>
        <w:rPr>
          <w:rFonts w:hint="eastAsia" w:eastAsia="仿宋_GB2312"/>
          <w:sz w:val="32"/>
          <w:szCs w:val="32"/>
        </w:rPr>
        <w:t>、《关于进一步完善新能源汽车推广应用财政补贴政策的通知》</w:t>
      </w:r>
      <w:r>
        <w:rPr>
          <w:rFonts w:eastAsia="仿宋_GB2312"/>
          <w:sz w:val="32"/>
          <w:szCs w:val="32"/>
        </w:rPr>
        <w:t>(</w:t>
      </w:r>
      <w:r>
        <w:rPr>
          <w:rFonts w:hint="eastAsia" w:eastAsia="仿宋_GB2312"/>
          <w:sz w:val="32"/>
          <w:szCs w:val="32"/>
        </w:rPr>
        <w:t>财建〔</w:t>
      </w:r>
      <w:r>
        <w:rPr>
          <w:rFonts w:eastAsia="仿宋_GB2312"/>
          <w:sz w:val="32"/>
          <w:szCs w:val="32"/>
        </w:rPr>
        <w:t>201</w:t>
      </w:r>
      <w:r>
        <w:rPr>
          <w:rFonts w:hint="eastAsia" w:eastAsia="仿宋_GB2312"/>
          <w:sz w:val="32"/>
          <w:szCs w:val="32"/>
        </w:rPr>
        <w:t>9〕</w:t>
      </w:r>
      <w:r>
        <w:rPr>
          <w:rFonts w:eastAsia="仿宋_GB2312"/>
          <w:sz w:val="32"/>
          <w:szCs w:val="32"/>
        </w:rPr>
        <w:t>1</w:t>
      </w:r>
      <w:r>
        <w:rPr>
          <w:rFonts w:hint="eastAsia" w:eastAsia="仿宋_GB2312"/>
          <w:sz w:val="32"/>
          <w:szCs w:val="32"/>
        </w:rPr>
        <w:t>3</w:t>
      </w:r>
      <w:r>
        <w:rPr>
          <w:rFonts w:eastAsia="仿宋_GB2312"/>
          <w:sz w:val="32"/>
          <w:szCs w:val="32"/>
        </w:rPr>
        <w:t>8</w:t>
      </w:r>
      <w:r>
        <w:rPr>
          <w:rFonts w:hint="eastAsia" w:eastAsia="仿宋_GB2312"/>
          <w:sz w:val="32"/>
          <w:szCs w:val="32"/>
        </w:rPr>
        <w:t>号</w:t>
      </w:r>
      <w:r>
        <w:rPr>
          <w:rFonts w:eastAsia="仿宋_GB2312"/>
          <w:sz w:val="32"/>
          <w:szCs w:val="32"/>
        </w:rPr>
        <w:t>)</w:t>
      </w:r>
      <w:r>
        <w:rPr>
          <w:rFonts w:hint="eastAsia" w:eastAsia="仿宋_GB2312"/>
          <w:sz w:val="32"/>
          <w:szCs w:val="32"/>
        </w:rPr>
        <w:t>、《关于支持新能源公交车推广应用的通知》</w:t>
      </w:r>
      <w:r>
        <w:rPr>
          <w:rFonts w:eastAsia="仿宋_GB2312"/>
          <w:sz w:val="32"/>
          <w:szCs w:val="32"/>
        </w:rPr>
        <w:t>(</w:t>
      </w:r>
      <w:r>
        <w:rPr>
          <w:rFonts w:hint="eastAsia" w:eastAsia="仿宋_GB2312"/>
          <w:sz w:val="32"/>
          <w:szCs w:val="32"/>
        </w:rPr>
        <w:t>财建〔</w:t>
      </w:r>
      <w:r>
        <w:rPr>
          <w:rFonts w:eastAsia="仿宋_GB2312"/>
          <w:sz w:val="32"/>
          <w:szCs w:val="32"/>
        </w:rPr>
        <w:t>201</w:t>
      </w:r>
      <w:r>
        <w:rPr>
          <w:rFonts w:hint="eastAsia" w:eastAsia="仿宋_GB2312"/>
          <w:sz w:val="32"/>
          <w:szCs w:val="32"/>
        </w:rPr>
        <w:t>9〕213号</w:t>
      </w:r>
      <w:r>
        <w:rPr>
          <w:rFonts w:eastAsia="仿宋_GB2312"/>
          <w:sz w:val="32"/>
          <w:szCs w:val="32"/>
        </w:rPr>
        <w:t>)</w:t>
      </w:r>
      <w:r>
        <w:rPr>
          <w:rFonts w:hint="eastAsia" w:eastAsia="仿宋_GB2312"/>
          <w:sz w:val="32"/>
          <w:szCs w:val="32"/>
        </w:rPr>
        <w:t>规定，符合上述文件要求以及我市明确属于补贴范围的车辆。</w:t>
      </w:r>
    </w:p>
    <w:p>
      <w:pPr>
        <w:spacing w:line="580" w:lineRule="exact"/>
        <w:ind w:firstLine="643" w:firstLineChars="200"/>
        <w:rPr>
          <w:rFonts w:eastAsia="仿宋_GB2312"/>
          <w:sz w:val="32"/>
          <w:szCs w:val="32"/>
        </w:rPr>
      </w:pPr>
      <w:r>
        <w:rPr>
          <w:rFonts w:hint="eastAsia" w:eastAsia="仿宋_GB2312"/>
          <w:b/>
          <w:sz w:val="32"/>
          <w:szCs w:val="32"/>
        </w:rPr>
        <w:t>第十条</w:t>
      </w:r>
      <w:r>
        <w:rPr>
          <w:rFonts w:eastAsia="仿宋_GB2312"/>
          <w:sz w:val="32"/>
          <w:szCs w:val="32"/>
        </w:rPr>
        <w:t xml:space="preserve"> </w:t>
      </w:r>
      <w:r>
        <w:rPr>
          <w:rFonts w:hint="eastAsia" w:eastAsia="仿宋_GB2312"/>
          <w:sz w:val="32"/>
          <w:szCs w:val="32"/>
        </w:rPr>
        <w:t>新能源汽车推广应用资金补贴对象为：在本市辖区内购置并依法注册登记和使用新能源汽车的单位和个人；在本市辖区内投资建设电动汽车专用充电设施和公用充电设施（不含自用的私人乘用车充电桩）的本市法人机构。</w:t>
      </w:r>
    </w:p>
    <w:p>
      <w:pPr>
        <w:spacing w:line="580" w:lineRule="exact"/>
        <w:ind w:firstLine="643" w:firstLineChars="200"/>
        <w:rPr>
          <w:rFonts w:eastAsia="仿宋_GB2312"/>
          <w:sz w:val="32"/>
          <w:szCs w:val="32"/>
        </w:rPr>
      </w:pPr>
      <w:r>
        <w:rPr>
          <w:rFonts w:hint="eastAsia" w:eastAsia="仿宋_GB2312"/>
          <w:b/>
          <w:sz w:val="32"/>
          <w:szCs w:val="32"/>
        </w:rPr>
        <w:t>第十一条</w:t>
      </w:r>
      <w:r>
        <w:rPr>
          <w:rFonts w:eastAsia="仿宋_GB2312"/>
          <w:b/>
          <w:sz w:val="32"/>
          <w:szCs w:val="32"/>
        </w:rPr>
        <w:t xml:space="preserve"> </w:t>
      </w:r>
      <w:r>
        <w:rPr>
          <w:rFonts w:hint="eastAsia" w:eastAsia="仿宋_GB2312"/>
          <w:sz w:val="32"/>
          <w:szCs w:val="32"/>
        </w:rPr>
        <w:t>为满足各领域推广应用需求，我市新能源汽车推广应用实行动态调控管理，市财政按照“锁定预算、总量控制”的原则安排补贴资金。在符合中央、省有关规定的前提下，由本市财政统筹安排的新能源汽车推广应用资金优先用于本市新能源汽车产业和企业发展。在客车、专用车领域，地方财政资金主要用于鼓励我市公交企业和其他用车企业</w:t>
      </w:r>
      <w:r>
        <w:rPr>
          <w:rFonts w:eastAsia="仿宋_GB2312"/>
          <w:sz w:val="32"/>
          <w:szCs w:val="32"/>
        </w:rPr>
        <w:t>(</w:t>
      </w:r>
      <w:r>
        <w:rPr>
          <w:rFonts w:hint="eastAsia" w:eastAsia="仿宋_GB2312"/>
          <w:sz w:val="32"/>
          <w:szCs w:val="32"/>
        </w:rPr>
        <w:t>个人</w:t>
      </w:r>
      <w:r>
        <w:rPr>
          <w:rFonts w:eastAsia="仿宋_GB2312"/>
          <w:sz w:val="32"/>
          <w:szCs w:val="32"/>
        </w:rPr>
        <w:t>)</w:t>
      </w:r>
      <w:r>
        <w:rPr>
          <w:rFonts w:hint="eastAsia" w:eastAsia="仿宋_GB2312"/>
          <w:sz w:val="32"/>
          <w:szCs w:val="32"/>
        </w:rPr>
        <w:t>优先选用本地品牌车辆</w:t>
      </w:r>
      <w:r>
        <w:rPr>
          <w:rFonts w:eastAsia="仿宋_GB2312"/>
          <w:sz w:val="32"/>
          <w:szCs w:val="32"/>
        </w:rPr>
        <w:t>(</w:t>
      </w:r>
      <w:r>
        <w:rPr>
          <w:rFonts w:hint="eastAsia" w:eastAsia="仿宋_GB2312"/>
          <w:sz w:val="32"/>
          <w:szCs w:val="32"/>
        </w:rPr>
        <w:t>含本、外地整车生产企业联合开发、改装、总装的产品，下同</w:t>
      </w:r>
      <w:r>
        <w:rPr>
          <w:rFonts w:eastAsia="仿宋_GB2312"/>
          <w:sz w:val="32"/>
          <w:szCs w:val="32"/>
        </w:rPr>
        <w:t>)</w:t>
      </w:r>
      <w:r>
        <w:rPr>
          <w:rFonts w:hint="eastAsia" w:eastAsia="仿宋_GB2312"/>
          <w:sz w:val="32"/>
          <w:szCs w:val="32"/>
        </w:rPr>
        <w:t>，优先保障蓝天保卫战部署的公交纯电动化、物流快递领域专用车辆纯电动示范等工作。</w:t>
      </w:r>
    </w:p>
    <w:p>
      <w:pPr>
        <w:tabs>
          <w:tab w:val="left" w:pos="7665"/>
          <w:tab w:val="left" w:pos="7875"/>
        </w:tabs>
        <w:adjustRightInd w:val="0"/>
        <w:snapToGrid w:val="0"/>
        <w:spacing w:line="560" w:lineRule="exact"/>
        <w:ind w:firstLine="630"/>
        <w:rPr>
          <w:rFonts w:eastAsia="仿宋_GB2312"/>
          <w:b/>
          <w:sz w:val="32"/>
          <w:szCs w:val="32"/>
        </w:rPr>
      </w:pPr>
      <w:r>
        <w:rPr>
          <w:rFonts w:hint="eastAsia" w:eastAsia="仿宋_GB2312"/>
          <w:b/>
          <w:sz w:val="32"/>
          <w:szCs w:val="32"/>
        </w:rPr>
        <w:t xml:space="preserve">第十二条 </w:t>
      </w:r>
      <w:r>
        <w:rPr>
          <w:rFonts w:hint="eastAsia" w:ascii="仿宋_GB2312" w:eastAsia="仿宋_GB2312"/>
          <w:sz w:val="32"/>
          <w:szCs w:val="32"/>
        </w:rPr>
        <w:t>各级财政（含国家、省、市）补贴资金总额，最高不超过车辆获得各级财政购车补贴资金总额加消费者支付资金总额的</w:t>
      </w:r>
      <w:r>
        <w:rPr>
          <w:rFonts w:ascii="仿宋_GB2312" w:eastAsia="仿宋_GB2312"/>
          <w:sz w:val="32"/>
          <w:szCs w:val="32"/>
        </w:rPr>
        <w:t>60</w:t>
      </w:r>
      <w:r>
        <w:rPr>
          <w:rFonts w:hint="eastAsia" w:ascii="仿宋_GB2312" w:eastAsia="仿宋_GB2312"/>
          <w:sz w:val="32"/>
          <w:szCs w:val="32"/>
        </w:rPr>
        <w:t>％，</w:t>
      </w:r>
      <w:r>
        <w:rPr>
          <w:rFonts w:hint="eastAsia" w:ascii="仿宋_GB2312" w:eastAsia="仿宋_GB2312"/>
          <w:color w:val="000000"/>
          <w:sz w:val="32"/>
          <w:szCs w:val="32"/>
        </w:rPr>
        <w:t>补贴标准和技术要求按车辆获得行驶证年度政策执行。</w:t>
      </w:r>
    </w:p>
    <w:p>
      <w:pPr>
        <w:tabs>
          <w:tab w:val="left" w:pos="7665"/>
          <w:tab w:val="left" w:pos="7875"/>
        </w:tabs>
        <w:adjustRightInd w:val="0"/>
        <w:snapToGrid w:val="0"/>
        <w:spacing w:line="560" w:lineRule="exact"/>
        <w:ind w:firstLine="630"/>
        <w:rPr>
          <w:rFonts w:eastAsia="仿宋_GB2312"/>
          <w:b/>
          <w:sz w:val="32"/>
          <w:szCs w:val="32"/>
        </w:rPr>
      </w:pPr>
      <w:r>
        <w:rPr>
          <w:rFonts w:hint="eastAsia" w:eastAsia="仿宋_GB2312"/>
          <w:b/>
          <w:sz w:val="32"/>
          <w:szCs w:val="32"/>
        </w:rPr>
        <w:t xml:space="preserve">第十三条 </w:t>
      </w:r>
      <w:r>
        <w:rPr>
          <w:rFonts w:hint="eastAsia" w:ascii="仿宋_GB2312" w:eastAsia="仿宋_GB2312"/>
          <w:sz w:val="32"/>
          <w:szCs w:val="32"/>
        </w:rPr>
        <w:t>鼓励充电基础设施建设运营，对符合标准的充电设施，</w:t>
      </w:r>
      <w:r>
        <w:rPr>
          <w:rFonts w:hint="eastAsia" w:eastAsia="仿宋_GB2312"/>
          <w:sz w:val="32"/>
          <w:szCs w:val="32"/>
        </w:rPr>
        <w:t>统筹省市资金按额定输出功率给予建设补贴。</w:t>
      </w:r>
      <w:r>
        <w:rPr>
          <w:rFonts w:hint="eastAsia" w:eastAsia="仿宋_GB2312"/>
          <w:color w:val="000000"/>
          <w:sz w:val="32"/>
          <w:szCs w:val="32"/>
        </w:rPr>
        <w:t>补贴标准按项目具备通过竣工验收条件年度的标准执行，申请单位需出具第三方审计报告等资料，举证充电设施具备通过验收条件时的状态与验收通过时一致，无法举证的按验收通过年度标准执行。</w:t>
      </w:r>
    </w:p>
    <w:p>
      <w:pPr>
        <w:spacing w:line="580" w:lineRule="exact"/>
        <w:ind w:firstLine="643" w:firstLineChars="200"/>
        <w:jc w:val="center"/>
        <w:rPr>
          <w:rFonts w:eastAsia="黑体"/>
          <w:b/>
          <w:sz w:val="32"/>
          <w:szCs w:val="32"/>
        </w:rPr>
      </w:pPr>
      <w:r>
        <w:rPr>
          <w:rFonts w:hint="eastAsia" w:eastAsia="黑体"/>
          <w:b/>
          <w:sz w:val="32"/>
          <w:szCs w:val="32"/>
        </w:rPr>
        <w:t>第四章</w:t>
      </w:r>
      <w:r>
        <w:rPr>
          <w:rFonts w:eastAsia="黑体"/>
          <w:b/>
          <w:sz w:val="32"/>
          <w:szCs w:val="32"/>
        </w:rPr>
        <w:t xml:space="preserve"> </w:t>
      </w:r>
      <w:r>
        <w:rPr>
          <w:rFonts w:hint="eastAsia" w:eastAsia="黑体"/>
          <w:b/>
          <w:sz w:val="32"/>
          <w:szCs w:val="32"/>
        </w:rPr>
        <w:t>补贴要求</w:t>
      </w:r>
    </w:p>
    <w:p>
      <w:pPr>
        <w:spacing w:line="580" w:lineRule="exact"/>
        <w:ind w:firstLine="643" w:firstLineChars="200"/>
        <w:rPr>
          <w:rFonts w:eastAsia="仿宋_GB2312"/>
          <w:color w:val="000000"/>
          <w:sz w:val="32"/>
          <w:szCs w:val="32"/>
        </w:rPr>
      </w:pPr>
      <w:r>
        <w:rPr>
          <w:rFonts w:hint="eastAsia" w:eastAsia="仿宋_GB2312"/>
          <w:b/>
          <w:color w:val="000000"/>
          <w:sz w:val="32"/>
          <w:szCs w:val="32"/>
        </w:rPr>
        <w:t>第十四条</w:t>
      </w:r>
      <w:r>
        <w:rPr>
          <w:rFonts w:eastAsia="仿宋_GB2312"/>
          <w:b/>
          <w:color w:val="000000"/>
          <w:sz w:val="32"/>
          <w:szCs w:val="32"/>
        </w:rPr>
        <w:t xml:space="preserve"> </w:t>
      </w:r>
      <w:r>
        <w:rPr>
          <w:rFonts w:hint="eastAsia" w:eastAsia="仿宋_GB2312"/>
          <w:color w:val="000000"/>
          <w:sz w:val="32"/>
          <w:szCs w:val="32"/>
        </w:rPr>
        <w:t>新能源汽车生产或销售企业应及时向用户公布新能源汽车销售的市场指导价，以及可申请的中央和地方财政补贴资金金额。新能源汽车生产或销售企业在销售新能源汽车产品时，按照扣减中央和地方财政补贴后的价格与消费者进行结算，在车辆销售合同中应注明车辆总价、中央和地方财政补贴标准以及消费者实付价格，待车辆满足购置补贴申请条件后由车辆生产或销售代表企业据实提出补贴申请，不得要求消费者自行申领。</w:t>
      </w:r>
    </w:p>
    <w:p>
      <w:pPr>
        <w:spacing w:line="580" w:lineRule="exact"/>
        <w:ind w:firstLine="640" w:firstLineChars="200"/>
        <w:rPr>
          <w:rFonts w:eastAsia="仿宋_GB2312"/>
          <w:color w:val="000000"/>
          <w:sz w:val="32"/>
          <w:szCs w:val="32"/>
        </w:rPr>
      </w:pPr>
      <w:r>
        <w:rPr>
          <w:rFonts w:hint="eastAsia" w:eastAsia="仿宋_GB2312"/>
          <w:color w:val="000000"/>
          <w:sz w:val="32"/>
          <w:szCs w:val="32"/>
        </w:rPr>
        <w:t>拟申请地方财政购置补贴的新能源汽车消费者和车辆生产或销售代表企业需联合承诺并在合同中明确，自初次注册登记日起</w:t>
      </w:r>
      <w:r>
        <w:rPr>
          <w:rFonts w:eastAsia="仿宋_GB2312"/>
          <w:color w:val="000000"/>
          <w:sz w:val="32"/>
          <w:szCs w:val="32"/>
        </w:rPr>
        <w:t>3</w:t>
      </w:r>
      <w:r>
        <w:rPr>
          <w:rFonts w:hint="eastAsia" w:eastAsia="仿宋_GB2312"/>
          <w:color w:val="000000"/>
          <w:sz w:val="32"/>
          <w:szCs w:val="32"/>
        </w:rPr>
        <w:t>年内不向异地提档过户，否则退还地方财政购置补贴资金。</w:t>
      </w:r>
      <w:r>
        <w:rPr>
          <w:rFonts w:hint="eastAsia" w:eastAsia="仿宋_GB2312"/>
          <w:sz w:val="32"/>
          <w:szCs w:val="32"/>
        </w:rPr>
        <w:t>拟申领地方财政补贴车辆的汽车产销企业，车辆产销企业应提前向市发展和改革局递交车型资料及年度销售计划。</w:t>
      </w:r>
      <w:r>
        <w:rPr>
          <w:rFonts w:hint="eastAsia" w:eastAsia="仿宋_GB2312"/>
          <w:color w:val="000000"/>
          <w:sz w:val="32"/>
          <w:szCs w:val="32"/>
        </w:rPr>
        <w:t>对个人购买的新能源汽车，地方财政购置补贴每人不超过</w:t>
      </w:r>
      <w:r>
        <w:rPr>
          <w:rFonts w:eastAsia="仿宋_GB2312"/>
          <w:color w:val="000000"/>
          <w:sz w:val="32"/>
          <w:szCs w:val="32"/>
        </w:rPr>
        <w:t>2</w:t>
      </w:r>
      <w:r>
        <w:rPr>
          <w:rFonts w:hint="eastAsia" w:eastAsia="仿宋_GB2312"/>
          <w:color w:val="000000"/>
          <w:sz w:val="32"/>
          <w:szCs w:val="32"/>
        </w:rPr>
        <w:t>辆</w:t>
      </w:r>
      <w:r>
        <w:rPr>
          <w:rFonts w:eastAsia="仿宋_GB2312"/>
          <w:sz w:val="32"/>
          <w:szCs w:val="32"/>
        </w:rPr>
        <w:t>/</w:t>
      </w:r>
      <w:r>
        <w:rPr>
          <w:rFonts w:hint="eastAsia" w:eastAsia="仿宋_GB2312"/>
          <w:color w:val="000000"/>
          <w:sz w:val="32"/>
          <w:szCs w:val="32"/>
        </w:rPr>
        <w:t>年，</w:t>
      </w:r>
      <w:r>
        <w:rPr>
          <w:rFonts w:hint="eastAsia" w:eastAsia="仿宋_GB2312"/>
          <w:sz w:val="32"/>
          <w:szCs w:val="32"/>
        </w:rPr>
        <w:t>且</w:t>
      </w:r>
      <w:r>
        <w:rPr>
          <w:rFonts w:hint="eastAsia" w:eastAsia="仿宋_GB2312"/>
          <w:color w:val="000000"/>
          <w:sz w:val="32"/>
          <w:szCs w:val="32"/>
        </w:rPr>
        <w:t>消费者和车辆产销企业需联合承诺</w:t>
      </w:r>
      <w:r>
        <w:rPr>
          <w:rFonts w:hint="eastAsia" w:eastAsia="仿宋_GB2312"/>
          <w:sz w:val="32"/>
          <w:szCs w:val="32"/>
        </w:rPr>
        <w:t>车辆行驶里程达</w:t>
      </w:r>
      <w:r>
        <w:rPr>
          <w:rFonts w:eastAsia="仿宋_GB2312"/>
          <w:sz w:val="32"/>
          <w:szCs w:val="32"/>
        </w:rPr>
        <w:t>3</w:t>
      </w:r>
      <w:r>
        <w:rPr>
          <w:rFonts w:hint="eastAsia" w:eastAsia="仿宋_GB2312"/>
          <w:sz w:val="32"/>
          <w:szCs w:val="32"/>
        </w:rPr>
        <w:t>万公里前不过户给非个人用户</w:t>
      </w:r>
      <w:r>
        <w:rPr>
          <w:rFonts w:hint="eastAsia" w:eastAsia="仿宋_GB2312"/>
          <w:color w:val="000000"/>
          <w:sz w:val="32"/>
          <w:szCs w:val="32"/>
        </w:rPr>
        <w:t>；对同一单位用户购买同一品牌新能源汽车超过</w:t>
      </w:r>
      <w:r>
        <w:rPr>
          <w:rFonts w:eastAsia="仿宋_GB2312"/>
          <w:color w:val="000000"/>
          <w:sz w:val="32"/>
          <w:szCs w:val="32"/>
        </w:rPr>
        <w:t>5</w:t>
      </w:r>
      <w:r>
        <w:rPr>
          <w:rFonts w:hint="eastAsia" w:eastAsia="仿宋_GB2312"/>
          <w:color w:val="000000"/>
          <w:sz w:val="32"/>
          <w:szCs w:val="32"/>
        </w:rPr>
        <w:t>辆</w:t>
      </w:r>
      <w:r>
        <w:rPr>
          <w:rFonts w:eastAsia="仿宋_GB2312"/>
          <w:sz w:val="32"/>
          <w:szCs w:val="32"/>
        </w:rPr>
        <w:t>/</w:t>
      </w:r>
      <w:r>
        <w:rPr>
          <w:rFonts w:hint="eastAsia" w:eastAsia="仿宋_GB2312"/>
          <w:color w:val="000000"/>
          <w:sz w:val="32"/>
          <w:szCs w:val="32"/>
        </w:rPr>
        <w:t>年且拟申请地方财政购置补贴的，车辆销售企业应提前向</w:t>
      </w:r>
      <w:r>
        <w:rPr>
          <w:rFonts w:hint="eastAsia" w:eastAsia="仿宋_GB2312"/>
          <w:sz w:val="32"/>
          <w:szCs w:val="32"/>
        </w:rPr>
        <w:t>市发展和改革局</w:t>
      </w:r>
      <w:r>
        <w:rPr>
          <w:rFonts w:hint="eastAsia" w:eastAsia="仿宋_GB2312"/>
          <w:color w:val="000000"/>
          <w:sz w:val="32"/>
          <w:szCs w:val="32"/>
        </w:rPr>
        <w:t>提交销售计划。</w:t>
      </w:r>
    </w:p>
    <w:p>
      <w:pPr>
        <w:spacing w:line="580" w:lineRule="exact"/>
        <w:ind w:firstLine="640" w:firstLineChars="200"/>
        <w:rPr>
          <w:rFonts w:eastAsia="仿宋_GB2312"/>
          <w:color w:val="000000"/>
          <w:sz w:val="32"/>
          <w:szCs w:val="32"/>
        </w:rPr>
      </w:pPr>
      <w:r>
        <w:rPr>
          <w:rFonts w:hint="eastAsia" w:eastAsia="仿宋_GB2312"/>
          <w:color w:val="000000"/>
          <w:sz w:val="32"/>
          <w:szCs w:val="32"/>
        </w:rPr>
        <w:t>除符合规定范围内的新能源汽车，其他类型新能源汽车申请财政补贴，运营里程要达到</w:t>
      </w:r>
      <w:r>
        <w:rPr>
          <w:rFonts w:eastAsia="仿宋_GB2312"/>
          <w:color w:val="000000"/>
          <w:sz w:val="32"/>
          <w:szCs w:val="32"/>
        </w:rPr>
        <w:t>2</w:t>
      </w:r>
      <w:r>
        <w:rPr>
          <w:rFonts w:hint="eastAsia" w:eastAsia="仿宋_GB2312"/>
          <w:color w:val="000000"/>
          <w:sz w:val="32"/>
          <w:szCs w:val="32"/>
        </w:rPr>
        <w:t>万公里，车辆销售上牌后将按申请拨付一部分补贴资金（最高不超过</w:t>
      </w:r>
      <w:r>
        <w:rPr>
          <w:rFonts w:eastAsia="仿宋_GB2312"/>
          <w:color w:val="000000"/>
          <w:sz w:val="32"/>
          <w:szCs w:val="32"/>
        </w:rPr>
        <w:t>70%</w:t>
      </w:r>
      <w:r>
        <w:rPr>
          <w:rFonts w:hint="eastAsia" w:eastAsia="仿宋_GB2312"/>
          <w:color w:val="000000"/>
          <w:sz w:val="32"/>
          <w:szCs w:val="32"/>
        </w:rPr>
        <w:t>），达到运营里程要求后全部拨付；因中央财政补贴清算需由车辆生产地新能源汽车主管部门出具意见，在不能提供相关佐证材料的前提下，上述范围内的非本地品牌车辆的地方财政购置补贴需待中央财政补贴清算确认后一次性拨付。</w:t>
      </w:r>
    </w:p>
    <w:p>
      <w:pPr>
        <w:spacing w:line="580" w:lineRule="exact"/>
        <w:ind w:firstLine="640" w:firstLineChars="200"/>
        <w:rPr>
          <w:rFonts w:eastAsia="仿宋_GB2312"/>
          <w:color w:val="000000"/>
          <w:sz w:val="32"/>
          <w:szCs w:val="32"/>
        </w:rPr>
      </w:pPr>
      <w:r>
        <w:rPr>
          <w:rFonts w:hint="eastAsia" w:eastAsia="仿宋_GB2312"/>
          <w:color w:val="000000"/>
          <w:sz w:val="32"/>
          <w:szCs w:val="32"/>
        </w:rPr>
        <w:t>新能源汽车生产企业注册在本市的，购置补贴直接拨付给车辆生产企业或由其授权委托在本市注册登记的具有独立法人资格的汽车销售企业；新能源汽车生产企业注册在外地，购置补贴拨付给由生产企业或区域销售企业授权委托在本市注册登记的具有独立法人资格的一家汽车销售代表企业。相关车辆在本市完成登记注册后，汽车生产或销售企业申请地方财政补贴，需提供以下加盖企业公章的资料</w:t>
      </w:r>
      <w:r>
        <w:rPr>
          <w:rFonts w:eastAsia="仿宋_GB2312"/>
          <w:color w:val="000000"/>
          <w:sz w:val="32"/>
          <w:szCs w:val="32"/>
        </w:rPr>
        <w:t>(</w:t>
      </w:r>
      <w:r>
        <w:rPr>
          <w:rFonts w:hint="eastAsia" w:eastAsia="仿宋_GB2312"/>
          <w:color w:val="000000"/>
          <w:sz w:val="32"/>
          <w:szCs w:val="32"/>
        </w:rPr>
        <w:t>一式三份</w:t>
      </w:r>
      <w:r>
        <w:rPr>
          <w:rFonts w:eastAsia="仿宋_GB2312"/>
          <w:color w:val="000000"/>
          <w:sz w:val="32"/>
          <w:szCs w:val="32"/>
        </w:rPr>
        <w:t>)</w:t>
      </w:r>
      <w:r>
        <w:rPr>
          <w:rFonts w:hint="eastAsia" w:eastAsia="仿宋_GB2312"/>
          <w:color w:val="000000"/>
          <w:sz w:val="32"/>
          <w:szCs w:val="32"/>
        </w:rPr>
        <w:t>以及电子扫描件：</w:t>
      </w:r>
    </w:p>
    <w:p>
      <w:pPr>
        <w:spacing w:line="580" w:lineRule="exact"/>
        <w:ind w:firstLine="643" w:firstLineChars="200"/>
        <w:rPr>
          <w:rFonts w:eastAsia="仿宋_GB2312"/>
          <w:b/>
          <w:color w:val="000000"/>
          <w:sz w:val="32"/>
          <w:szCs w:val="32"/>
        </w:rPr>
      </w:pPr>
      <w:r>
        <w:rPr>
          <w:rFonts w:eastAsia="仿宋_GB2312"/>
          <w:b/>
          <w:color w:val="000000"/>
          <w:sz w:val="32"/>
          <w:szCs w:val="32"/>
        </w:rPr>
        <w:t>(</w:t>
      </w:r>
      <w:r>
        <w:rPr>
          <w:rFonts w:hint="eastAsia" w:eastAsia="仿宋_GB2312"/>
          <w:b/>
          <w:color w:val="000000"/>
          <w:sz w:val="32"/>
          <w:szCs w:val="32"/>
        </w:rPr>
        <w:t>一</w:t>
      </w:r>
      <w:r>
        <w:rPr>
          <w:rFonts w:eastAsia="仿宋_GB2312"/>
          <w:b/>
          <w:color w:val="000000"/>
          <w:sz w:val="32"/>
          <w:szCs w:val="32"/>
        </w:rPr>
        <w:t>)</w:t>
      </w:r>
      <w:r>
        <w:rPr>
          <w:rFonts w:hint="eastAsia" w:eastAsia="仿宋_GB2312"/>
          <w:b/>
          <w:color w:val="000000"/>
          <w:sz w:val="32"/>
          <w:szCs w:val="32"/>
        </w:rPr>
        <w:t>企业资料：</w:t>
      </w:r>
    </w:p>
    <w:p>
      <w:pPr>
        <w:spacing w:line="58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由汽车生产企业申领补贴资金的，需提供汽车生产企业营业执照</w:t>
      </w:r>
      <w:r>
        <w:rPr>
          <w:rFonts w:eastAsia="仿宋_GB2312"/>
          <w:color w:val="000000"/>
          <w:sz w:val="32"/>
          <w:szCs w:val="32"/>
        </w:rPr>
        <w:t>(</w:t>
      </w:r>
      <w:r>
        <w:rPr>
          <w:rFonts w:hint="eastAsia" w:eastAsia="仿宋_GB2312"/>
          <w:color w:val="000000"/>
          <w:sz w:val="32"/>
          <w:szCs w:val="32"/>
        </w:rPr>
        <w:t>须具备相应经营范围</w:t>
      </w:r>
      <w:r>
        <w:rPr>
          <w:rFonts w:eastAsia="仿宋_GB2312"/>
          <w:color w:val="000000"/>
          <w:sz w:val="32"/>
          <w:szCs w:val="32"/>
        </w:rPr>
        <w:t>)</w:t>
      </w:r>
      <w:r>
        <w:rPr>
          <w:rFonts w:hint="eastAsia" w:eastAsia="仿宋_GB2312"/>
          <w:color w:val="000000"/>
          <w:sz w:val="32"/>
          <w:szCs w:val="32"/>
        </w:rPr>
        <w:t>、法定代表人身份证复印件、企业对公账户资料。</w:t>
      </w:r>
    </w:p>
    <w:p>
      <w:pPr>
        <w:spacing w:line="58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由汽车销售企业申请补贴资金的，需提供汽车销售企业的营业执照</w:t>
      </w:r>
      <w:r>
        <w:rPr>
          <w:rFonts w:eastAsia="仿宋_GB2312"/>
          <w:color w:val="000000"/>
          <w:sz w:val="32"/>
          <w:szCs w:val="32"/>
        </w:rPr>
        <w:t>(</w:t>
      </w:r>
      <w:r>
        <w:rPr>
          <w:rFonts w:hint="eastAsia" w:eastAsia="仿宋_GB2312"/>
          <w:color w:val="000000"/>
          <w:sz w:val="32"/>
          <w:szCs w:val="32"/>
        </w:rPr>
        <w:t>须具备相应经营范围</w:t>
      </w:r>
      <w:r>
        <w:rPr>
          <w:rFonts w:eastAsia="仿宋_GB2312"/>
          <w:color w:val="000000"/>
          <w:sz w:val="32"/>
          <w:szCs w:val="32"/>
        </w:rPr>
        <w:t>)</w:t>
      </w:r>
      <w:r>
        <w:rPr>
          <w:rFonts w:hint="eastAsia" w:eastAsia="仿宋_GB2312"/>
          <w:color w:val="000000"/>
          <w:sz w:val="32"/>
          <w:szCs w:val="32"/>
        </w:rPr>
        <w:t>、法定代表人身份证复印件、企业对公账户资料，以及汽车生产企业出具的一份授权委托书原件。</w:t>
      </w:r>
    </w:p>
    <w:p>
      <w:pPr>
        <w:spacing w:line="580" w:lineRule="exact"/>
        <w:ind w:firstLine="643" w:firstLineChars="200"/>
        <w:rPr>
          <w:rFonts w:eastAsia="仿宋_GB2312"/>
          <w:b/>
          <w:color w:val="000000"/>
          <w:sz w:val="32"/>
          <w:szCs w:val="32"/>
        </w:rPr>
      </w:pPr>
      <w:r>
        <w:rPr>
          <w:rFonts w:eastAsia="仿宋_GB2312"/>
          <w:b/>
          <w:color w:val="000000"/>
          <w:sz w:val="32"/>
          <w:szCs w:val="32"/>
        </w:rPr>
        <w:t>(</w:t>
      </w:r>
      <w:r>
        <w:rPr>
          <w:rFonts w:hint="eastAsia" w:eastAsia="仿宋_GB2312"/>
          <w:b/>
          <w:color w:val="000000"/>
          <w:sz w:val="32"/>
          <w:szCs w:val="32"/>
        </w:rPr>
        <w:t>二</w:t>
      </w:r>
      <w:r>
        <w:rPr>
          <w:rFonts w:eastAsia="仿宋_GB2312"/>
          <w:b/>
          <w:color w:val="000000"/>
          <w:sz w:val="32"/>
          <w:szCs w:val="32"/>
        </w:rPr>
        <w:t>)</w:t>
      </w:r>
      <w:r>
        <w:rPr>
          <w:rFonts w:hint="eastAsia" w:eastAsia="仿宋_GB2312"/>
          <w:b/>
          <w:color w:val="000000"/>
          <w:sz w:val="32"/>
          <w:szCs w:val="32"/>
        </w:rPr>
        <w:t>车型资料：</w:t>
      </w:r>
    </w:p>
    <w:p>
      <w:pPr>
        <w:spacing w:line="580" w:lineRule="exact"/>
        <w:ind w:firstLine="640" w:firstLineChars="200"/>
        <w:rPr>
          <w:rFonts w:eastAsia="仿宋_GB2312"/>
          <w:color w:val="000000"/>
          <w:sz w:val="32"/>
          <w:szCs w:val="32"/>
        </w:rPr>
      </w:pPr>
      <w:r>
        <w:rPr>
          <w:rFonts w:hint="eastAsia" w:eastAsia="仿宋_GB2312"/>
          <w:color w:val="000000"/>
          <w:sz w:val="32"/>
          <w:szCs w:val="32"/>
        </w:rPr>
        <w:t>生产企业及相关车型列入国家部委《车辆生产企业及产品公告》《免征车辆购置税的新能源汽车车型目录》《新能源汽车推广应用推荐车型目录》的有关证明材料，以及车辆电池系统质量能量密度、百公里耗电量、整备质量、快充倍率等相关车辆技术参数证明。</w:t>
      </w:r>
    </w:p>
    <w:p>
      <w:pPr>
        <w:spacing w:line="580" w:lineRule="exact"/>
        <w:ind w:firstLine="643" w:firstLineChars="200"/>
        <w:rPr>
          <w:rFonts w:eastAsia="仿宋_GB2312"/>
          <w:b/>
          <w:color w:val="000000"/>
          <w:sz w:val="32"/>
          <w:szCs w:val="32"/>
        </w:rPr>
      </w:pPr>
      <w:r>
        <w:rPr>
          <w:rFonts w:eastAsia="仿宋_GB2312"/>
          <w:b/>
          <w:color w:val="000000"/>
          <w:sz w:val="32"/>
          <w:szCs w:val="32"/>
        </w:rPr>
        <w:t>(</w:t>
      </w:r>
      <w:r>
        <w:rPr>
          <w:rFonts w:hint="eastAsia" w:eastAsia="仿宋_GB2312"/>
          <w:b/>
          <w:color w:val="000000"/>
          <w:sz w:val="32"/>
          <w:szCs w:val="32"/>
        </w:rPr>
        <w:t>三</w:t>
      </w:r>
      <w:r>
        <w:rPr>
          <w:rFonts w:eastAsia="仿宋_GB2312"/>
          <w:b/>
          <w:color w:val="000000"/>
          <w:sz w:val="32"/>
          <w:szCs w:val="32"/>
        </w:rPr>
        <w:t>)</w:t>
      </w:r>
      <w:r>
        <w:rPr>
          <w:rFonts w:hint="eastAsia" w:eastAsia="仿宋_GB2312"/>
          <w:b/>
          <w:color w:val="000000"/>
          <w:sz w:val="32"/>
          <w:szCs w:val="32"/>
        </w:rPr>
        <w:t>申领补贴资金资料：</w:t>
      </w:r>
    </w:p>
    <w:p>
      <w:pPr>
        <w:spacing w:line="58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销售给个人用户的车辆需提供：</w:t>
      </w:r>
      <w:r>
        <w:rPr>
          <w:rFonts w:hint="eastAsia" w:eastAsia="仿宋_GB2312"/>
          <w:sz w:val="32"/>
          <w:szCs w:val="32"/>
        </w:rPr>
        <w:t>购车人身份证、车辆买卖合同、车辆销售发票、机动车登记证、行驶证等复印件，以及承诺书和其他需提供的相关资料。</w:t>
      </w:r>
    </w:p>
    <w:p>
      <w:pPr>
        <w:spacing w:line="58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销售给单位用户的车辆需提供：购车单位法定代表人身份证、营业执照、车辆买卖合同、车辆销售发票、机动车登记证、行驶证等复印件，</w:t>
      </w:r>
      <w:r>
        <w:rPr>
          <w:rFonts w:hint="eastAsia" w:eastAsia="仿宋_GB2312"/>
          <w:sz w:val="32"/>
          <w:szCs w:val="32"/>
        </w:rPr>
        <w:t>以及</w:t>
      </w:r>
      <w:r>
        <w:rPr>
          <w:rFonts w:hint="eastAsia" w:eastAsia="仿宋_GB2312"/>
          <w:color w:val="000000"/>
          <w:sz w:val="32"/>
          <w:szCs w:val="32"/>
        </w:rPr>
        <w:t>承诺书和</w:t>
      </w:r>
      <w:r>
        <w:rPr>
          <w:rFonts w:hint="eastAsia" w:eastAsia="仿宋_GB2312"/>
          <w:sz w:val="32"/>
          <w:szCs w:val="32"/>
        </w:rPr>
        <w:t>其他需提供的相关资料</w:t>
      </w:r>
      <w:r>
        <w:rPr>
          <w:rFonts w:hint="eastAsia" w:eastAsia="仿宋_GB2312"/>
          <w:color w:val="000000"/>
          <w:sz w:val="32"/>
          <w:szCs w:val="32"/>
        </w:rPr>
        <w:t>。</w:t>
      </w:r>
    </w:p>
    <w:p>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注</w:t>
      </w:r>
      <w:r>
        <w:rPr>
          <w:rFonts w:eastAsia="仿宋_GB2312"/>
          <w:color w:val="000000"/>
          <w:sz w:val="32"/>
          <w:szCs w:val="32"/>
        </w:rPr>
        <w:t>:</w:t>
      </w:r>
      <w:r>
        <w:rPr>
          <w:rFonts w:hint="eastAsia" w:eastAsia="仿宋_GB2312"/>
          <w:color w:val="000000"/>
          <w:sz w:val="32"/>
          <w:szCs w:val="32"/>
        </w:rPr>
        <w:t>车辆销售发票应按不含任何补贴的实际销售价格开具。</w:t>
      </w:r>
      <w:r>
        <w:rPr>
          <w:rFonts w:eastAsia="仿宋_GB2312"/>
          <w:color w:val="000000"/>
          <w:sz w:val="32"/>
          <w:szCs w:val="32"/>
        </w:rPr>
        <w:t>)</w:t>
      </w:r>
    </w:p>
    <w:p>
      <w:pPr>
        <w:spacing w:line="580" w:lineRule="exact"/>
        <w:ind w:firstLine="643" w:firstLineChars="200"/>
        <w:rPr>
          <w:rFonts w:hint="eastAsia" w:eastAsia="仿宋_GB2312"/>
          <w:color w:val="000000"/>
          <w:sz w:val="32"/>
          <w:szCs w:val="32"/>
          <w:lang w:eastAsia="zh-CN"/>
        </w:rPr>
      </w:pPr>
      <w:r>
        <w:rPr>
          <w:rFonts w:hint="eastAsia" w:eastAsia="仿宋_GB2312"/>
          <w:b/>
          <w:color w:val="000000"/>
          <w:sz w:val="32"/>
          <w:szCs w:val="32"/>
        </w:rPr>
        <w:t>第十五条</w:t>
      </w:r>
      <w:r>
        <w:rPr>
          <w:rFonts w:eastAsia="仿宋_GB2312"/>
          <w:b/>
          <w:color w:val="000000"/>
          <w:sz w:val="32"/>
          <w:szCs w:val="32"/>
        </w:rPr>
        <w:t xml:space="preserve"> </w:t>
      </w:r>
      <w:r>
        <w:rPr>
          <w:rFonts w:hint="eastAsia" w:eastAsia="仿宋_GB2312"/>
          <w:b w:val="0"/>
          <w:color w:val="auto"/>
          <w:sz w:val="32"/>
          <w:szCs w:val="32"/>
          <w:lang w:eastAsia="zh-CN"/>
        </w:rPr>
        <w:t>对</w:t>
      </w:r>
      <w:r>
        <w:rPr>
          <w:rFonts w:hint="eastAsia" w:eastAsia="仿宋_GB2312"/>
          <w:color w:val="000000"/>
          <w:sz w:val="32"/>
          <w:szCs w:val="32"/>
        </w:rPr>
        <w:t>在《东莞市电动汽车充换电设施建设运营管理办法》（东发改〔2018〕540号）</w:t>
      </w:r>
      <w:r>
        <w:rPr>
          <w:rFonts w:hint="eastAsia" w:eastAsia="仿宋_GB2312"/>
          <w:color w:val="000000"/>
          <w:sz w:val="32"/>
          <w:szCs w:val="32"/>
          <w:lang w:eastAsia="zh-CN"/>
        </w:rPr>
        <w:t>印发</w:t>
      </w:r>
      <w:r>
        <w:rPr>
          <w:rFonts w:hint="eastAsia" w:eastAsia="仿宋_GB2312"/>
          <w:color w:val="000000"/>
          <w:sz w:val="32"/>
          <w:szCs w:val="32"/>
        </w:rPr>
        <w:t>实施前已通过验收并接入</w:t>
      </w:r>
      <w:r>
        <w:rPr>
          <w:rFonts w:hint="eastAsia" w:eastAsia="仿宋_GB2312"/>
          <w:sz w:val="32"/>
          <w:szCs w:val="32"/>
        </w:rPr>
        <w:t>省</w:t>
      </w:r>
      <w:r>
        <w:rPr>
          <w:rFonts w:eastAsia="仿宋_GB2312"/>
          <w:sz w:val="32"/>
          <w:szCs w:val="32"/>
        </w:rPr>
        <w:t>(</w:t>
      </w:r>
      <w:r>
        <w:rPr>
          <w:rFonts w:hint="eastAsia" w:eastAsia="仿宋_GB2312"/>
          <w:sz w:val="32"/>
          <w:szCs w:val="32"/>
        </w:rPr>
        <w:t>市</w:t>
      </w:r>
      <w:r>
        <w:rPr>
          <w:rFonts w:eastAsia="仿宋_GB2312"/>
          <w:sz w:val="32"/>
          <w:szCs w:val="32"/>
        </w:rPr>
        <w:t>)</w:t>
      </w:r>
      <w:r>
        <w:rPr>
          <w:rFonts w:hint="eastAsia" w:eastAsia="仿宋_GB2312"/>
          <w:sz w:val="32"/>
          <w:szCs w:val="32"/>
        </w:rPr>
        <w:t>电动汽车充电设施智能平台</w:t>
      </w:r>
      <w:r>
        <w:rPr>
          <w:rFonts w:hint="eastAsia" w:eastAsia="仿宋_GB2312"/>
          <w:color w:val="000000"/>
          <w:sz w:val="32"/>
          <w:szCs w:val="32"/>
        </w:rPr>
        <w:t>的充电设施（含粤发改产业函〔</w:t>
      </w:r>
      <w:r>
        <w:rPr>
          <w:rFonts w:eastAsia="仿宋_GB2312"/>
          <w:color w:val="000000"/>
          <w:sz w:val="32"/>
          <w:szCs w:val="32"/>
        </w:rPr>
        <w:t>2018</w:t>
      </w:r>
      <w:r>
        <w:rPr>
          <w:rFonts w:hint="eastAsia" w:eastAsia="仿宋_GB2312"/>
          <w:color w:val="000000"/>
          <w:sz w:val="32"/>
          <w:szCs w:val="32"/>
        </w:rPr>
        <w:t>〕</w:t>
      </w:r>
      <w:r>
        <w:rPr>
          <w:rFonts w:eastAsia="仿宋_GB2312"/>
          <w:color w:val="000000"/>
          <w:sz w:val="32"/>
          <w:szCs w:val="32"/>
        </w:rPr>
        <w:t>518</w:t>
      </w:r>
      <w:r>
        <w:rPr>
          <w:rFonts w:hint="eastAsia" w:eastAsia="仿宋_GB2312"/>
          <w:color w:val="000000"/>
          <w:sz w:val="32"/>
          <w:szCs w:val="32"/>
        </w:rPr>
        <w:t>号文出台前建成并竣工验收，但不具备接入</w:t>
      </w:r>
      <w:r>
        <w:rPr>
          <w:rFonts w:hint="eastAsia" w:eastAsia="仿宋_GB2312"/>
          <w:sz w:val="32"/>
          <w:szCs w:val="32"/>
        </w:rPr>
        <w:t>省、市电动汽车充电设施智能平台</w:t>
      </w:r>
      <w:r>
        <w:rPr>
          <w:rFonts w:hint="eastAsia" w:eastAsia="仿宋_GB2312"/>
          <w:color w:val="000000"/>
          <w:sz w:val="32"/>
          <w:szCs w:val="32"/>
        </w:rPr>
        <w:t>的充电设施）进行清算后，我市充电设施投资建设企业在东莞市域范围内投资建设充电设施的总功率需达到</w:t>
      </w:r>
      <w:r>
        <w:rPr>
          <w:rFonts w:eastAsia="仿宋_GB2312"/>
          <w:color w:val="000000"/>
          <w:sz w:val="32"/>
          <w:szCs w:val="32"/>
        </w:rPr>
        <w:t>6000KW</w:t>
      </w:r>
      <w:r>
        <w:rPr>
          <w:rFonts w:hint="eastAsia" w:eastAsia="仿宋_GB2312"/>
          <w:color w:val="000000"/>
          <w:sz w:val="32"/>
          <w:szCs w:val="32"/>
        </w:rPr>
        <w:t>方可提出补贴申请。对由两家或两家以上企业联合投资建设或运营的项目，项目控股企业需绝对控股，该控股企业参与投资建设的充电设施总功率达到</w:t>
      </w:r>
      <w:r>
        <w:rPr>
          <w:rFonts w:eastAsia="仿宋_GB2312"/>
          <w:color w:val="000000"/>
          <w:sz w:val="32"/>
          <w:szCs w:val="32"/>
        </w:rPr>
        <w:t>6000KW</w:t>
      </w:r>
      <w:r>
        <w:rPr>
          <w:rFonts w:hint="eastAsia" w:eastAsia="仿宋_GB2312"/>
          <w:color w:val="000000"/>
          <w:sz w:val="32"/>
          <w:szCs w:val="32"/>
        </w:rPr>
        <w:t>后，方可就该充电设施项目建设提出补贴申请。</w:t>
      </w:r>
      <w:r>
        <w:rPr>
          <w:rFonts w:hint="eastAsia" w:eastAsia="仿宋_GB2312"/>
          <w:sz w:val="32"/>
          <w:szCs w:val="32"/>
        </w:rPr>
        <w:t>拟申请充电设施建设补贴的企业需承诺，充电设施通过验收并投入运行后，连续接入省、市电动汽车充电设施智能平台并稳定运营</w:t>
      </w:r>
      <w:r>
        <w:rPr>
          <w:rFonts w:eastAsia="仿宋_GB2312"/>
          <w:sz w:val="32"/>
          <w:szCs w:val="32"/>
        </w:rPr>
        <w:t>5</w:t>
      </w:r>
      <w:r>
        <w:rPr>
          <w:rFonts w:hint="eastAsia" w:eastAsia="仿宋_GB2312"/>
          <w:sz w:val="32"/>
          <w:szCs w:val="32"/>
        </w:rPr>
        <w:t>年以上，</w:t>
      </w:r>
      <w:r>
        <w:rPr>
          <w:rFonts w:hint="eastAsia" w:eastAsia="仿宋_GB2312"/>
          <w:color w:val="000000"/>
          <w:sz w:val="32"/>
          <w:szCs w:val="32"/>
        </w:rPr>
        <w:t>否则退还补贴资金</w:t>
      </w:r>
      <w:r>
        <w:rPr>
          <w:rFonts w:hint="eastAsia" w:eastAsia="仿宋_GB2312"/>
          <w:sz w:val="32"/>
          <w:szCs w:val="32"/>
        </w:rPr>
        <w:t>。上级变压器容量（为充电站提供电力供应部分）</w:t>
      </w:r>
      <w:r>
        <w:rPr>
          <w:rFonts w:hint="eastAsia" w:eastAsia="仿宋_GB2312"/>
          <w:sz w:val="32"/>
          <w:szCs w:val="32"/>
          <w:lang w:eastAsia="zh-CN"/>
        </w:rPr>
        <w:t>原则上</w:t>
      </w:r>
      <w:r>
        <w:rPr>
          <w:rFonts w:hint="eastAsia" w:eastAsia="仿宋_GB2312"/>
          <w:sz w:val="32"/>
          <w:szCs w:val="32"/>
        </w:rPr>
        <w:t>必须大于充电站装机总容量</w:t>
      </w:r>
      <w:r>
        <w:rPr>
          <w:rFonts w:hint="eastAsia" w:eastAsia="仿宋_GB2312"/>
          <w:sz w:val="32"/>
          <w:szCs w:val="32"/>
          <w:lang w:eastAsia="zh-CN"/>
        </w:rPr>
        <w:t>。</w:t>
      </w:r>
      <w:r>
        <w:rPr>
          <w:rFonts w:hint="eastAsia" w:eastAsia="仿宋_GB2312"/>
          <w:b w:val="0"/>
          <w:bCs/>
          <w:color w:val="000000"/>
          <w:sz w:val="32"/>
          <w:szCs w:val="32"/>
          <w:u w:val="none"/>
          <w:lang w:eastAsia="zh-CN"/>
        </w:rPr>
        <w:t>为促进新能源汽车产业良性发展，对于</w:t>
      </w:r>
      <w:r>
        <w:rPr>
          <w:rFonts w:hint="eastAsia" w:ascii="Times New Roman" w:hAnsi="Times New Roman" w:eastAsia="仿宋_GB2312" w:cs="Times New Roman"/>
          <w:b w:val="0"/>
          <w:bCs w:val="0"/>
          <w:i w:val="0"/>
          <w:caps w:val="0"/>
          <w:spacing w:val="0"/>
          <w:sz w:val="32"/>
          <w:szCs w:val="32"/>
          <w:u w:val="none"/>
          <w:shd w:val="clear"/>
        </w:rPr>
        <w:t>使用率低</w:t>
      </w:r>
      <w:r>
        <w:rPr>
          <w:rFonts w:hint="eastAsia" w:eastAsia="仿宋_GB2312"/>
          <w:b w:val="0"/>
          <w:bCs w:val="0"/>
          <w:sz w:val="32"/>
          <w:szCs w:val="32"/>
          <w:u w:val="none"/>
          <w:lang w:eastAsia="zh-CN"/>
        </w:rPr>
        <w:t>的</w:t>
      </w:r>
      <w:r>
        <w:rPr>
          <w:rFonts w:hint="eastAsia" w:eastAsia="仿宋_GB2312"/>
          <w:b w:val="0"/>
          <w:bCs/>
          <w:color w:val="000000"/>
          <w:sz w:val="32"/>
          <w:szCs w:val="32"/>
          <w:u w:val="none"/>
          <w:lang w:eastAsia="zh-CN"/>
        </w:rPr>
        <w:t>低效能充电基础设施（如僵尸桩、已损毁或未通电桩等），不予纳入电动汽车充换电基础设施的补贴范围。</w:t>
      </w:r>
    </w:p>
    <w:p>
      <w:pPr>
        <w:spacing w:line="580" w:lineRule="exact"/>
        <w:ind w:firstLine="640" w:firstLineChars="200"/>
        <w:rPr>
          <w:rFonts w:eastAsia="仿宋_GB2312"/>
          <w:color w:val="000000"/>
          <w:sz w:val="32"/>
          <w:szCs w:val="32"/>
        </w:rPr>
      </w:pPr>
      <w:r>
        <w:rPr>
          <w:rFonts w:hint="eastAsia" w:eastAsia="仿宋_GB2312"/>
          <w:color w:val="000000"/>
          <w:sz w:val="32"/>
          <w:szCs w:val="32"/>
        </w:rPr>
        <w:t>满足条件的充电设施按要求完成验收后，可按照申请拨付</w:t>
      </w:r>
      <w:r>
        <w:rPr>
          <w:rFonts w:eastAsia="仿宋_GB2312"/>
          <w:color w:val="000000"/>
          <w:sz w:val="32"/>
          <w:szCs w:val="32"/>
        </w:rPr>
        <w:t>70%</w:t>
      </w:r>
      <w:r>
        <w:rPr>
          <w:rFonts w:hint="eastAsia" w:eastAsia="仿宋_GB2312"/>
          <w:color w:val="000000"/>
          <w:sz w:val="32"/>
          <w:szCs w:val="32"/>
        </w:rPr>
        <w:t>补贴资金，其余资金待充电设施正常运行一年后全额拨付；申请时已正常运行满一年的，则可申请一次性全额拨付。</w:t>
      </w:r>
    </w:p>
    <w:p>
      <w:pPr>
        <w:spacing w:line="580" w:lineRule="exact"/>
        <w:ind w:firstLine="640" w:firstLineChars="200"/>
        <w:rPr>
          <w:rFonts w:eastAsia="仿宋_GB2312"/>
          <w:color w:val="000000"/>
          <w:sz w:val="32"/>
          <w:szCs w:val="32"/>
        </w:rPr>
      </w:pPr>
      <w:r>
        <w:rPr>
          <w:rFonts w:hint="eastAsia" w:eastAsia="仿宋_GB2312"/>
          <w:color w:val="000000"/>
          <w:sz w:val="32"/>
          <w:szCs w:val="32"/>
        </w:rPr>
        <w:t>充电设施投资建设企业申请充电设施建设补贴，需提供以下加盖企业公章的资料</w:t>
      </w:r>
      <w:r>
        <w:rPr>
          <w:rFonts w:eastAsia="仿宋_GB2312"/>
          <w:color w:val="000000"/>
          <w:sz w:val="32"/>
          <w:szCs w:val="32"/>
        </w:rPr>
        <w:t>(</w:t>
      </w:r>
      <w:r>
        <w:rPr>
          <w:rFonts w:hint="eastAsia" w:eastAsia="仿宋_GB2312"/>
          <w:color w:val="000000"/>
          <w:sz w:val="32"/>
          <w:szCs w:val="32"/>
        </w:rPr>
        <w:t>一式三份</w:t>
      </w:r>
      <w:r>
        <w:rPr>
          <w:rFonts w:eastAsia="仿宋_GB2312"/>
          <w:color w:val="000000"/>
          <w:sz w:val="32"/>
          <w:szCs w:val="32"/>
        </w:rPr>
        <w:t>)</w:t>
      </w:r>
      <w:r>
        <w:rPr>
          <w:rFonts w:hint="eastAsia" w:eastAsia="仿宋_GB2312"/>
          <w:color w:val="000000"/>
          <w:sz w:val="32"/>
          <w:szCs w:val="32"/>
        </w:rPr>
        <w:t>及电子扫描件：</w:t>
      </w:r>
    </w:p>
    <w:p>
      <w:pPr>
        <w:spacing w:line="58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企业营业执照</w:t>
      </w:r>
      <w:r>
        <w:rPr>
          <w:rFonts w:eastAsia="仿宋_GB2312"/>
          <w:color w:val="000000"/>
          <w:sz w:val="32"/>
          <w:szCs w:val="32"/>
        </w:rPr>
        <w:t>(</w:t>
      </w:r>
      <w:r>
        <w:rPr>
          <w:rFonts w:hint="eastAsia" w:eastAsia="仿宋_GB2312"/>
          <w:color w:val="000000"/>
          <w:sz w:val="32"/>
          <w:szCs w:val="32"/>
        </w:rPr>
        <w:t>须具备相应经营范围</w:t>
      </w:r>
      <w:r>
        <w:rPr>
          <w:rFonts w:eastAsia="仿宋_GB2312"/>
          <w:color w:val="000000"/>
          <w:sz w:val="32"/>
          <w:szCs w:val="32"/>
        </w:rPr>
        <w:t>)</w:t>
      </w:r>
      <w:r>
        <w:rPr>
          <w:rFonts w:hint="eastAsia" w:eastAsia="仿宋_GB2312"/>
          <w:color w:val="000000"/>
          <w:sz w:val="32"/>
          <w:szCs w:val="32"/>
        </w:rPr>
        <w:t>、法定代表人身份证复印件、企业对公账户资料；</w:t>
      </w:r>
    </w:p>
    <w:p>
      <w:pPr>
        <w:spacing w:line="58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建设运营方案和企业承诺书；</w:t>
      </w:r>
    </w:p>
    <w:p>
      <w:pPr>
        <w:spacing w:line="58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场地资料</w:t>
      </w:r>
      <w:r>
        <w:rPr>
          <w:rFonts w:eastAsia="仿宋_GB2312"/>
          <w:color w:val="000000"/>
          <w:sz w:val="32"/>
          <w:szCs w:val="32"/>
        </w:rPr>
        <w:t xml:space="preserve"> (</w:t>
      </w:r>
      <w:r>
        <w:rPr>
          <w:rFonts w:hint="eastAsia" w:eastAsia="仿宋_GB2312"/>
          <w:color w:val="000000"/>
          <w:sz w:val="32"/>
          <w:szCs w:val="32"/>
        </w:rPr>
        <w:t>相关场地需能够满足充电设施投入运行后具备</w:t>
      </w:r>
      <w:r>
        <w:rPr>
          <w:rFonts w:eastAsia="仿宋_GB2312"/>
          <w:color w:val="000000"/>
          <w:sz w:val="32"/>
          <w:szCs w:val="32"/>
        </w:rPr>
        <w:t>3</w:t>
      </w:r>
      <w:r>
        <w:rPr>
          <w:rFonts w:hint="eastAsia" w:eastAsia="仿宋_GB2312"/>
          <w:color w:val="000000"/>
          <w:sz w:val="32"/>
          <w:szCs w:val="32"/>
        </w:rPr>
        <w:t>年以上稳定运营条件</w:t>
      </w:r>
      <w:r>
        <w:rPr>
          <w:rFonts w:eastAsia="仿宋_GB2312"/>
          <w:color w:val="000000"/>
          <w:sz w:val="32"/>
          <w:szCs w:val="32"/>
        </w:rPr>
        <w:t>)</w:t>
      </w:r>
      <w:r>
        <w:rPr>
          <w:rFonts w:hint="eastAsia" w:eastAsia="仿宋_GB2312"/>
          <w:color w:val="000000"/>
          <w:sz w:val="32"/>
          <w:szCs w:val="32"/>
        </w:rPr>
        <w:t>；</w:t>
      </w:r>
    </w:p>
    <w:p>
      <w:pPr>
        <w:spacing w:line="58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工程建设合同及相关凭据，在《东莞市电动汽车充电设施建设运营管理办法》出台实施后建设的充电设施需提供具有承装</w:t>
      </w:r>
      <w:r>
        <w:rPr>
          <w:rFonts w:eastAsia="仿宋_GB2312"/>
          <w:color w:val="000000"/>
          <w:sz w:val="32"/>
          <w:szCs w:val="32"/>
        </w:rPr>
        <w:t>(</w:t>
      </w:r>
      <w:r>
        <w:rPr>
          <w:rFonts w:hint="eastAsia" w:eastAsia="仿宋_GB2312"/>
          <w:color w:val="000000"/>
          <w:sz w:val="32"/>
          <w:szCs w:val="32"/>
        </w:rPr>
        <w:t>修、试</w:t>
      </w:r>
      <w:r>
        <w:rPr>
          <w:rFonts w:eastAsia="仿宋_GB2312"/>
          <w:color w:val="000000"/>
          <w:sz w:val="32"/>
          <w:szCs w:val="32"/>
        </w:rPr>
        <w:t>)</w:t>
      </w:r>
      <w:r>
        <w:rPr>
          <w:rFonts w:hint="eastAsia" w:eastAsia="仿宋_GB2312"/>
          <w:color w:val="000000"/>
          <w:sz w:val="32"/>
          <w:szCs w:val="32"/>
        </w:rPr>
        <w:t>电力设施许可证五级或以上资质的本市法人施工企业证明；</w:t>
      </w:r>
    </w:p>
    <w:p>
      <w:pPr>
        <w:spacing w:line="580" w:lineRule="exact"/>
        <w:ind w:firstLine="640" w:firstLineChars="200"/>
        <w:rPr>
          <w:rFonts w:eastAsia="仿宋_GB2312"/>
          <w:color w:val="000000"/>
          <w:sz w:val="32"/>
          <w:szCs w:val="32"/>
        </w:rPr>
      </w:pPr>
      <w:r>
        <w:rPr>
          <w:rFonts w:eastAsia="仿宋_GB2312"/>
          <w:color w:val="000000"/>
          <w:sz w:val="32"/>
          <w:szCs w:val="32"/>
        </w:rPr>
        <w:t>5.</w:t>
      </w:r>
      <w:r>
        <w:rPr>
          <w:rFonts w:hint="eastAsia" w:eastAsia="仿宋_GB2312"/>
          <w:sz w:val="32"/>
          <w:szCs w:val="32"/>
        </w:rPr>
        <w:t>省</w:t>
      </w:r>
      <w:r>
        <w:rPr>
          <w:rFonts w:eastAsia="仿宋_GB2312"/>
          <w:sz w:val="32"/>
          <w:szCs w:val="32"/>
        </w:rPr>
        <w:t>(</w:t>
      </w:r>
      <w:r>
        <w:rPr>
          <w:rFonts w:hint="eastAsia" w:eastAsia="仿宋_GB2312"/>
          <w:sz w:val="32"/>
          <w:szCs w:val="32"/>
        </w:rPr>
        <w:t>市</w:t>
      </w:r>
      <w:r>
        <w:rPr>
          <w:rFonts w:eastAsia="仿宋_GB2312"/>
          <w:sz w:val="32"/>
          <w:szCs w:val="32"/>
        </w:rPr>
        <w:t>)</w:t>
      </w:r>
      <w:r>
        <w:rPr>
          <w:rFonts w:hint="eastAsia" w:eastAsia="仿宋_GB2312"/>
          <w:sz w:val="32"/>
          <w:szCs w:val="32"/>
        </w:rPr>
        <w:t>电动汽车充电设施智能平台接入</w:t>
      </w:r>
      <w:r>
        <w:rPr>
          <w:rFonts w:hint="eastAsia" w:eastAsia="仿宋_GB2312"/>
          <w:color w:val="000000"/>
          <w:sz w:val="32"/>
          <w:szCs w:val="32"/>
        </w:rPr>
        <w:t>证明或其他可证明材料（在粤发改产业函〔</w:t>
      </w:r>
      <w:r>
        <w:rPr>
          <w:rFonts w:eastAsia="仿宋_GB2312"/>
          <w:color w:val="000000"/>
          <w:sz w:val="32"/>
          <w:szCs w:val="32"/>
        </w:rPr>
        <w:t>2018</w:t>
      </w:r>
      <w:r>
        <w:rPr>
          <w:rFonts w:hint="eastAsia" w:eastAsia="仿宋_GB2312"/>
          <w:color w:val="000000"/>
          <w:sz w:val="32"/>
          <w:szCs w:val="32"/>
        </w:rPr>
        <w:t>〕</w:t>
      </w:r>
      <w:r>
        <w:rPr>
          <w:rFonts w:eastAsia="仿宋_GB2312"/>
          <w:color w:val="000000"/>
          <w:sz w:val="32"/>
          <w:szCs w:val="32"/>
        </w:rPr>
        <w:t>518</w:t>
      </w:r>
      <w:r>
        <w:rPr>
          <w:rFonts w:hint="eastAsia" w:eastAsia="仿宋_GB2312"/>
          <w:color w:val="000000"/>
          <w:sz w:val="32"/>
          <w:szCs w:val="32"/>
        </w:rPr>
        <w:t>号文出台前建成并竣工验收，但不具备接入</w:t>
      </w:r>
      <w:r>
        <w:rPr>
          <w:rFonts w:hint="eastAsia" w:eastAsia="仿宋_GB2312"/>
          <w:sz w:val="32"/>
          <w:szCs w:val="32"/>
        </w:rPr>
        <w:t>省</w:t>
      </w:r>
      <w:r>
        <w:rPr>
          <w:rFonts w:eastAsia="仿宋_GB2312"/>
          <w:sz w:val="32"/>
          <w:szCs w:val="32"/>
        </w:rPr>
        <w:t>(</w:t>
      </w:r>
      <w:r>
        <w:rPr>
          <w:rFonts w:hint="eastAsia" w:eastAsia="仿宋_GB2312"/>
          <w:sz w:val="32"/>
          <w:szCs w:val="32"/>
        </w:rPr>
        <w:t>市</w:t>
      </w:r>
      <w:r>
        <w:rPr>
          <w:rFonts w:eastAsia="仿宋_GB2312"/>
          <w:sz w:val="32"/>
          <w:szCs w:val="32"/>
        </w:rPr>
        <w:t>)</w:t>
      </w:r>
      <w:r>
        <w:rPr>
          <w:rFonts w:hint="eastAsia" w:eastAsia="仿宋_GB2312"/>
          <w:sz w:val="32"/>
          <w:szCs w:val="32"/>
        </w:rPr>
        <w:t>电动汽车充电设施智能平台</w:t>
      </w:r>
      <w:r>
        <w:rPr>
          <w:rFonts w:hint="eastAsia" w:eastAsia="仿宋_GB2312"/>
          <w:color w:val="000000"/>
          <w:sz w:val="32"/>
          <w:szCs w:val="32"/>
        </w:rPr>
        <w:t>的充电设施除外）；</w:t>
      </w:r>
    </w:p>
    <w:p>
      <w:pPr>
        <w:spacing w:line="580" w:lineRule="exact"/>
        <w:ind w:firstLine="640" w:firstLineChars="200"/>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项目竣工验收合格证明或相关证明材料；</w:t>
      </w:r>
    </w:p>
    <w:p>
      <w:pPr>
        <w:spacing w:line="580" w:lineRule="exact"/>
        <w:ind w:firstLine="640" w:firstLineChars="200"/>
        <w:rPr>
          <w:rFonts w:eastAsia="仿宋_GB2312"/>
          <w:color w:val="000000"/>
          <w:sz w:val="32"/>
          <w:szCs w:val="32"/>
        </w:rPr>
      </w:pPr>
      <w:r>
        <w:rPr>
          <w:rFonts w:eastAsia="仿宋_GB2312"/>
          <w:color w:val="000000"/>
          <w:sz w:val="32"/>
          <w:szCs w:val="32"/>
        </w:rPr>
        <w:t>7.</w:t>
      </w:r>
      <w:r>
        <w:rPr>
          <w:rFonts w:hint="eastAsia" w:eastAsia="仿宋_GB2312"/>
          <w:color w:val="000000"/>
          <w:sz w:val="32"/>
          <w:szCs w:val="32"/>
        </w:rPr>
        <w:t>集中式充电设施还需提供项目立项文件复印件；</w:t>
      </w:r>
    </w:p>
    <w:p>
      <w:pPr>
        <w:spacing w:line="580" w:lineRule="exact"/>
        <w:ind w:firstLine="643" w:firstLineChars="200"/>
        <w:rPr>
          <w:rFonts w:eastAsia="仿宋_GB2312"/>
          <w:sz w:val="32"/>
          <w:szCs w:val="32"/>
        </w:rPr>
      </w:pPr>
      <w:r>
        <w:rPr>
          <w:rFonts w:hint="eastAsia" w:eastAsia="仿宋_GB2312"/>
          <w:b/>
          <w:color w:val="000000"/>
          <w:sz w:val="32"/>
          <w:szCs w:val="32"/>
          <w:lang w:eastAsia="zh-CN"/>
        </w:rPr>
        <w:t>第十六条</w:t>
      </w:r>
      <w:r>
        <w:rPr>
          <w:rFonts w:hint="eastAsia" w:eastAsia="仿宋_GB2312"/>
          <w:b/>
          <w:color w:val="000000"/>
          <w:sz w:val="32"/>
          <w:szCs w:val="32"/>
          <w:lang w:val="en-US" w:eastAsia="zh-CN"/>
        </w:rPr>
        <w:t xml:space="preserve"> </w:t>
      </w:r>
      <w:r>
        <w:rPr>
          <w:rFonts w:hint="eastAsia" w:eastAsia="仿宋_GB2312"/>
          <w:color w:val="000000"/>
          <w:sz w:val="32"/>
          <w:szCs w:val="32"/>
        </w:rPr>
        <w:t>新能源汽车推广应用资金原则上每6个月进行申报清算及拨付，市发展改革局将委托东莞市新能源汽车产业协会并同时组织第三方会计师事务所对企业上报的资金申请材料进行收集审核，市发展改革局将制定资金拨付计划并进行公示，并会同市财政局按计划下达资金。</w:t>
      </w:r>
    </w:p>
    <w:p>
      <w:pPr>
        <w:spacing w:line="580" w:lineRule="exact"/>
        <w:ind w:firstLine="643" w:firstLineChars="200"/>
        <w:jc w:val="center"/>
        <w:rPr>
          <w:rFonts w:eastAsia="黑体"/>
          <w:b/>
          <w:sz w:val="32"/>
          <w:szCs w:val="32"/>
        </w:rPr>
      </w:pPr>
      <w:r>
        <w:rPr>
          <w:rFonts w:hint="eastAsia" w:eastAsia="黑体"/>
          <w:b/>
          <w:sz w:val="32"/>
          <w:szCs w:val="32"/>
        </w:rPr>
        <w:t>第五章</w:t>
      </w:r>
      <w:r>
        <w:rPr>
          <w:rFonts w:eastAsia="黑体"/>
          <w:b/>
          <w:sz w:val="32"/>
          <w:szCs w:val="32"/>
        </w:rPr>
        <w:t xml:space="preserve"> </w:t>
      </w:r>
      <w:r>
        <w:rPr>
          <w:rFonts w:hint="eastAsia" w:eastAsia="黑体"/>
          <w:b/>
          <w:sz w:val="32"/>
          <w:szCs w:val="32"/>
        </w:rPr>
        <w:t>信息公开</w:t>
      </w:r>
    </w:p>
    <w:p>
      <w:pPr>
        <w:spacing w:line="580" w:lineRule="exact"/>
        <w:ind w:firstLine="643" w:firstLineChars="200"/>
        <w:rPr>
          <w:rFonts w:eastAsia="仿宋_GB2312"/>
          <w:color w:val="000000"/>
          <w:sz w:val="32"/>
          <w:szCs w:val="32"/>
        </w:rPr>
      </w:pPr>
      <w:r>
        <w:rPr>
          <w:rFonts w:hint="eastAsia" w:eastAsia="仿宋_GB2312"/>
          <w:b/>
          <w:color w:val="000000"/>
          <w:sz w:val="32"/>
          <w:szCs w:val="32"/>
        </w:rPr>
        <w:t>第十七条</w:t>
      </w:r>
      <w:r>
        <w:rPr>
          <w:rFonts w:eastAsia="仿宋_GB2312"/>
          <w:color w:val="000000"/>
          <w:sz w:val="32"/>
          <w:szCs w:val="32"/>
        </w:rPr>
        <w:t xml:space="preserve"> </w:t>
      </w:r>
      <w:r>
        <w:rPr>
          <w:rFonts w:hint="eastAsia" w:eastAsia="仿宋_GB2312"/>
          <w:color w:val="000000"/>
          <w:sz w:val="32"/>
          <w:szCs w:val="32"/>
        </w:rPr>
        <w:t>除涉及保密要求不予公开，新能源汽车推广应用资金的发放信息应及时向社会公开。</w:t>
      </w:r>
    </w:p>
    <w:p>
      <w:pPr>
        <w:spacing w:line="580" w:lineRule="exact"/>
        <w:ind w:firstLine="643" w:firstLineChars="200"/>
        <w:rPr>
          <w:rFonts w:eastAsia="仿宋_GB2312"/>
          <w:color w:val="000000"/>
          <w:sz w:val="32"/>
          <w:szCs w:val="32"/>
        </w:rPr>
      </w:pPr>
      <w:r>
        <w:rPr>
          <w:rFonts w:hint="eastAsia" w:eastAsia="仿宋_GB2312"/>
          <w:b/>
          <w:color w:val="000000"/>
          <w:sz w:val="32"/>
          <w:szCs w:val="32"/>
        </w:rPr>
        <w:t>第十八条</w:t>
      </w:r>
      <w:r>
        <w:rPr>
          <w:rFonts w:eastAsia="仿宋_GB2312"/>
          <w:b/>
          <w:color w:val="000000"/>
          <w:sz w:val="32"/>
          <w:szCs w:val="32"/>
        </w:rPr>
        <w:t xml:space="preserve"> </w:t>
      </w:r>
      <w:r>
        <w:rPr>
          <w:rFonts w:hint="eastAsia" w:eastAsia="仿宋_GB2312"/>
          <w:color w:val="000000"/>
          <w:sz w:val="32"/>
          <w:szCs w:val="32"/>
        </w:rPr>
        <w:t>市发展改革局在单位网站上公开有关信息：</w:t>
      </w:r>
    </w:p>
    <w:p>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一</w:t>
      </w:r>
      <w:r>
        <w:rPr>
          <w:rFonts w:eastAsia="仿宋_GB2312"/>
          <w:color w:val="000000"/>
          <w:sz w:val="32"/>
          <w:szCs w:val="32"/>
        </w:rPr>
        <w:t>)</w:t>
      </w:r>
      <w:r>
        <w:rPr>
          <w:rFonts w:hint="eastAsia" w:eastAsia="仿宋_GB2312"/>
          <w:color w:val="000000"/>
          <w:sz w:val="32"/>
          <w:szCs w:val="32"/>
        </w:rPr>
        <w:t>资金管理办法；</w:t>
      </w:r>
    </w:p>
    <w:p>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二</w:t>
      </w:r>
      <w:r>
        <w:rPr>
          <w:rFonts w:eastAsia="仿宋_GB2312"/>
          <w:color w:val="000000"/>
          <w:sz w:val="32"/>
          <w:szCs w:val="32"/>
        </w:rPr>
        <w:t>)</w:t>
      </w:r>
      <w:r>
        <w:rPr>
          <w:rFonts w:hint="eastAsia" w:eastAsia="仿宋_GB2312"/>
          <w:color w:val="000000"/>
          <w:sz w:val="32"/>
          <w:szCs w:val="32"/>
        </w:rPr>
        <w:t>主管部门、经办内设部门、咨询电话等；</w:t>
      </w:r>
    </w:p>
    <w:p>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三</w:t>
      </w:r>
      <w:r>
        <w:rPr>
          <w:rFonts w:eastAsia="仿宋_GB2312"/>
          <w:color w:val="000000"/>
          <w:sz w:val="32"/>
          <w:szCs w:val="32"/>
        </w:rPr>
        <w:t>)</w:t>
      </w:r>
      <w:r>
        <w:rPr>
          <w:rFonts w:hint="eastAsia" w:eastAsia="仿宋_GB2312"/>
          <w:color w:val="000000"/>
          <w:sz w:val="32"/>
          <w:szCs w:val="32"/>
        </w:rPr>
        <w:t>资金使用绩效评价、监督检查的有关情况；</w:t>
      </w:r>
    </w:p>
    <w:p>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四</w:t>
      </w:r>
      <w:r>
        <w:rPr>
          <w:rFonts w:eastAsia="仿宋_GB2312"/>
          <w:color w:val="000000"/>
          <w:sz w:val="32"/>
          <w:szCs w:val="32"/>
        </w:rPr>
        <w:t>)</w:t>
      </w:r>
      <w:r>
        <w:rPr>
          <w:rFonts w:hint="eastAsia" w:eastAsia="仿宋_GB2312"/>
          <w:color w:val="000000"/>
          <w:sz w:val="32"/>
          <w:szCs w:val="32"/>
        </w:rPr>
        <w:t>公开接受、处理投诉情况，包括投诉事项和原因、投诉处理情况等；</w:t>
      </w:r>
    </w:p>
    <w:p>
      <w:pPr>
        <w:spacing w:line="580" w:lineRule="exact"/>
        <w:ind w:firstLine="640" w:firstLineChars="200"/>
        <w:rPr>
          <w:rFonts w:eastAsia="仿宋_GB2312"/>
          <w:b/>
          <w:color w:val="000000"/>
          <w:sz w:val="32"/>
          <w:szCs w:val="32"/>
        </w:rPr>
      </w:pPr>
      <w:r>
        <w:rPr>
          <w:rFonts w:eastAsia="仿宋_GB2312"/>
          <w:color w:val="000000"/>
          <w:sz w:val="32"/>
          <w:szCs w:val="32"/>
        </w:rPr>
        <w:t>(</w:t>
      </w:r>
      <w:r>
        <w:rPr>
          <w:rFonts w:hint="eastAsia" w:eastAsia="仿宋_GB2312"/>
          <w:color w:val="000000"/>
          <w:sz w:val="32"/>
          <w:szCs w:val="32"/>
        </w:rPr>
        <w:t>五</w:t>
      </w:r>
      <w:r>
        <w:rPr>
          <w:rFonts w:eastAsia="仿宋_GB2312"/>
          <w:color w:val="000000"/>
          <w:sz w:val="32"/>
          <w:szCs w:val="32"/>
        </w:rPr>
        <w:t>)</w:t>
      </w:r>
      <w:r>
        <w:rPr>
          <w:rFonts w:hint="eastAsia" w:eastAsia="仿宋_GB2312"/>
          <w:color w:val="000000"/>
          <w:sz w:val="32"/>
          <w:szCs w:val="32"/>
        </w:rPr>
        <w:t>其他按规定应公开的内容。</w:t>
      </w:r>
    </w:p>
    <w:p>
      <w:pPr>
        <w:spacing w:line="580" w:lineRule="exact"/>
        <w:ind w:firstLine="643" w:firstLineChars="200"/>
        <w:rPr>
          <w:rFonts w:eastAsia="仿宋_GB2312"/>
          <w:sz w:val="32"/>
          <w:szCs w:val="32"/>
        </w:rPr>
      </w:pPr>
      <w:r>
        <w:rPr>
          <w:rFonts w:hint="eastAsia" w:eastAsia="仿宋_GB2312"/>
          <w:b/>
          <w:color w:val="000000"/>
          <w:sz w:val="32"/>
          <w:szCs w:val="32"/>
        </w:rPr>
        <w:t>第十九条</w:t>
      </w:r>
      <w:r>
        <w:rPr>
          <w:rFonts w:eastAsia="仿宋_GB2312"/>
          <w:color w:val="000000"/>
          <w:sz w:val="32"/>
          <w:szCs w:val="32"/>
        </w:rPr>
        <w:t xml:space="preserve"> </w:t>
      </w:r>
      <w:r>
        <w:rPr>
          <w:rFonts w:hint="eastAsia" w:eastAsia="仿宋_GB2312"/>
          <w:color w:val="000000"/>
          <w:sz w:val="32"/>
          <w:szCs w:val="32"/>
        </w:rPr>
        <w:t>在财政、审计、监察等职能部门履行有关监督检查和绩效评价职能过程中，需资金主管部门或涉及受补贴资金支持的单位提供有关数据或信息的需给予配合，及时提供完整、真实的数据信息。</w:t>
      </w:r>
    </w:p>
    <w:p>
      <w:pPr>
        <w:spacing w:line="580" w:lineRule="exact"/>
        <w:ind w:firstLine="643" w:firstLineChars="200"/>
        <w:jc w:val="center"/>
        <w:rPr>
          <w:rFonts w:eastAsia="黑体"/>
          <w:b/>
          <w:sz w:val="32"/>
          <w:szCs w:val="32"/>
        </w:rPr>
      </w:pPr>
      <w:r>
        <w:rPr>
          <w:rFonts w:hint="eastAsia" w:eastAsia="黑体"/>
          <w:b/>
          <w:sz w:val="32"/>
          <w:szCs w:val="32"/>
        </w:rPr>
        <w:t>第六章</w:t>
      </w:r>
      <w:r>
        <w:rPr>
          <w:rFonts w:eastAsia="黑体"/>
          <w:b/>
          <w:sz w:val="32"/>
          <w:szCs w:val="32"/>
        </w:rPr>
        <w:t xml:space="preserve"> </w:t>
      </w:r>
      <w:r>
        <w:rPr>
          <w:rFonts w:hint="eastAsia" w:eastAsia="黑体"/>
          <w:b/>
          <w:sz w:val="32"/>
          <w:szCs w:val="32"/>
        </w:rPr>
        <w:t>监督管理及绩效评价</w:t>
      </w:r>
    </w:p>
    <w:p>
      <w:pPr>
        <w:spacing w:line="580" w:lineRule="exact"/>
        <w:ind w:firstLine="643" w:firstLineChars="200"/>
        <w:rPr>
          <w:rFonts w:eastAsia="仿宋_GB2312"/>
          <w:color w:val="000000"/>
          <w:sz w:val="32"/>
          <w:szCs w:val="32"/>
        </w:rPr>
      </w:pPr>
      <w:r>
        <w:rPr>
          <w:rFonts w:hint="eastAsia" w:eastAsia="仿宋_GB2312"/>
          <w:b/>
          <w:color w:val="000000"/>
          <w:sz w:val="32"/>
          <w:szCs w:val="32"/>
        </w:rPr>
        <w:t>第二十条</w:t>
      </w:r>
      <w:r>
        <w:rPr>
          <w:rFonts w:eastAsia="仿宋_GB2312"/>
          <w:color w:val="000000"/>
          <w:sz w:val="32"/>
          <w:szCs w:val="32"/>
        </w:rPr>
        <w:t xml:space="preserve"> </w:t>
      </w:r>
      <w:r>
        <w:rPr>
          <w:rFonts w:hint="eastAsia" w:eastAsia="仿宋_GB2312"/>
          <w:color w:val="000000"/>
          <w:sz w:val="32"/>
          <w:szCs w:val="32"/>
        </w:rPr>
        <w:t>资金申请方必须对所提供的有关资料真实性负责，凡提供的产品或实施的内容与申报材料不符、性能指标未达到要求，或提供虚假信息、骗取补贴资金、欺骗消费者等情形的，将视情节轻重予以追缴补贴资金、公开通报批评、取消申请补贴资格、列入推广应用黑名单、列入公用信用信息管理系统等处罚。情节严重的，依照有关法律法规追究相应责任；涉嫌犯罪的，移送司法机关处理。</w:t>
      </w:r>
    </w:p>
    <w:p>
      <w:pPr>
        <w:spacing w:line="580" w:lineRule="exact"/>
        <w:ind w:firstLine="643" w:firstLineChars="200"/>
        <w:rPr>
          <w:rFonts w:eastAsia="仿宋_GB2312"/>
          <w:color w:val="000000"/>
          <w:sz w:val="32"/>
          <w:szCs w:val="32"/>
        </w:rPr>
      </w:pPr>
      <w:r>
        <w:rPr>
          <w:rFonts w:hint="eastAsia" w:eastAsia="仿宋_GB2312"/>
          <w:b/>
          <w:color w:val="000000"/>
          <w:sz w:val="32"/>
          <w:szCs w:val="32"/>
        </w:rPr>
        <w:t>第二十一条</w:t>
      </w:r>
      <w:r>
        <w:rPr>
          <w:rFonts w:eastAsia="仿宋_GB2312"/>
          <w:color w:val="000000"/>
          <w:sz w:val="32"/>
          <w:szCs w:val="32"/>
        </w:rPr>
        <w:t xml:space="preserve"> </w:t>
      </w:r>
      <w:r>
        <w:rPr>
          <w:rFonts w:hint="eastAsia" w:eastAsia="仿宋_GB2312"/>
          <w:color w:val="000000"/>
          <w:sz w:val="32"/>
          <w:szCs w:val="32"/>
        </w:rPr>
        <w:t>新能源汽车推广应用补贴资金必须专款专用，任何单位不得以任何理由和形式截留、挪用。对违反规定的，将依照《财政违法行为处罚处分条例》</w:t>
      </w:r>
      <w:r>
        <w:rPr>
          <w:rFonts w:eastAsia="仿宋_GB2312"/>
          <w:color w:val="000000"/>
          <w:sz w:val="32"/>
          <w:szCs w:val="32"/>
        </w:rPr>
        <w:t>(</w:t>
      </w:r>
      <w:r>
        <w:rPr>
          <w:rFonts w:hint="eastAsia" w:eastAsia="仿宋_GB2312"/>
          <w:color w:val="000000"/>
          <w:sz w:val="32"/>
          <w:szCs w:val="32"/>
        </w:rPr>
        <w:t>国务院令第</w:t>
      </w:r>
      <w:r>
        <w:rPr>
          <w:rFonts w:eastAsia="仿宋_GB2312"/>
          <w:color w:val="000000"/>
          <w:sz w:val="32"/>
          <w:szCs w:val="32"/>
        </w:rPr>
        <w:t>427</w:t>
      </w:r>
      <w:r>
        <w:rPr>
          <w:rFonts w:hint="eastAsia" w:eastAsia="仿宋_GB2312"/>
          <w:color w:val="000000"/>
          <w:sz w:val="32"/>
          <w:szCs w:val="32"/>
        </w:rPr>
        <w:t>号</w:t>
      </w:r>
      <w:r>
        <w:rPr>
          <w:rFonts w:eastAsia="仿宋_GB2312"/>
          <w:color w:val="000000"/>
          <w:sz w:val="32"/>
          <w:szCs w:val="32"/>
        </w:rPr>
        <w:t>)</w:t>
      </w:r>
      <w:r>
        <w:rPr>
          <w:rFonts w:hint="eastAsia" w:eastAsia="仿宋_GB2312"/>
          <w:color w:val="000000"/>
          <w:sz w:val="32"/>
          <w:szCs w:val="32"/>
        </w:rPr>
        <w:t>等有关规定，依法追究有关单位和人员的责任。</w:t>
      </w:r>
    </w:p>
    <w:p>
      <w:pPr>
        <w:spacing w:line="580" w:lineRule="exact"/>
        <w:ind w:firstLine="643" w:firstLineChars="200"/>
        <w:rPr>
          <w:rFonts w:eastAsia="仿宋_GB2312"/>
          <w:color w:val="000000"/>
          <w:sz w:val="32"/>
          <w:szCs w:val="32"/>
        </w:rPr>
      </w:pPr>
      <w:r>
        <w:rPr>
          <w:rFonts w:hint="eastAsia" w:eastAsia="仿宋_GB2312"/>
          <w:b/>
          <w:color w:val="000000"/>
          <w:sz w:val="32"/>
          <w:szCs w:val="32"/>
        </w:rPr>
        <w:t>第二十二条</w:t>
      </w:r>
      <w:r>
        <w:rPr>
          <w:rFonts w:eastAsia="仿宋_GB2312"/>
          <w:color w:val="000000"/>
          <w:sz w:val="32"/>
          <w:szCs w:val="32"/>
        </w:rPr>
        <w:t xml:space="preserve"> </w:t>
      </w:r>
      <w:r>
        <w:rPr>
          <w:rFonts w:hint="eastAsia" w:eastAsia="仿宋_GB2312"/>
          <w:color w:val="000000"/>
          <w:sz w:val="32"/>
          <w:szCs w:val="32"/>
        </w:rPr>
        <w:t>加强专项资金绩效管理，建立包括绩效目标申报审核、绩效跟踪监控、绩效评价的全过程绩效管理制度。市财政局负责组织开展绩效评价工作，并视工作需要开展重点绩效评价工作。市发展改革局负责制定专项资金绩效目标，组织做好绩效自评工作，会同市财政局落实绩效跟踪监控、绩效评价工作。</w:t>
      </w:r>
    </w:p>
    <w:p>
      <w:pPr>
        <w:spacing w:line="580" w:lineRule="exact"/>
        <w:ind w:firstLine="643" w:firstLineChars="200"/>
        <w:jc w:val="center"/>
        <w:rPr>
          <w:rFonts w:eastAsia="黑体"/>
          <w:b/>
          <w:sz w:val="32"/>
          <w:szCs w:val="32"/>
        </w:rPr>
      </w:pPr>
      <w:r>
        <w:rPr>
          <w:rFonts w:hint="eastAsia" w:eastAsia="黑体"/>
          <w:b/>
          <w:sz w:val="32"/>
          <w:szCs w:val="32"/>
        </w:rPr>
        <w:t>第七章</w:t>
      </w:r>
      <w:r>
        <w:rPr>
          <w:rFonts w:eastAsia="黑体"/>
          <w:b/>
          <w:sz w:val="32"/>
          <w:szCs w:val="32"/>
        </w:rPr>
        <w:t xml:space="preserve"> </w:t>
      </w:r>
      <w:r>
        <w:rPr>
          <w:rFonts w:hint="eastAsia" w:eastAsia="黑体"/>
          <w:b/>
          <w:sz w:val="32"/>
          <w:szCs w:val="32"/>
        </w:rPr>
        <w:t>附则</w:t>
      </w:r>
    </w:p>
    <w:p>
      <w:pPr>
        <w:spacing w:line="580" w:lineRule="exact"/>
        <w:ind w:firstLine="643" w:firstLineChars="200"/>
        <w:rPr>
          <w:rFonts w:eastAsia="仿宋_GB2312"/>
          <w:color w:val="000000"/>
          <w:sz w:val="32"/>
          <w:szCs w:val="32"/>
        </w:rPr>
      </w:pPr>
      <w:r>
        <w:rPr>
          <w:rFonts w:hint="eastAsia" w:eastAsia="仿宋_GB2312"/>
          <w:b/>
          <w:color w:val="000000"/>
          <w:sz w:val="32"/>
          <w:szCs w:val="32"/>
        </w:rPr>
        <w:t>第二十三条</w:t>
      </w:r>
      <w:r>
        <w:rPr>
          <w:rFonts w:eastAsia="仿宋_GB2312"/>
          <w:color w:val="000000"/>
          <w:sz w:val="32"/>
          <w:szCs w:val="32"/>
        </w:rPr>
        <w:t xml:space="preserve"> </w:t>
      </w:r>
      <w:r>
        <w:rPr>
          <w:rFonts w:hint="eastAsia" w:eastAsia="仿宋_GB2312"/>
          <w:color w:val="000000"/>
          <w:sz w:val="32"/>
          <w:szCs w:val="32"/>
        </w:rPr>
        <w:t>本办法由东莞</w:t>
      </w:r>
      <w:r>
        <w:rPr>
          <w:rFonts w:hint="eastAsia" w:eastAsia="仿宋_GB2312"/>
          <w:sz w:val="32"/>
          <w:szCs w:val="32"/>
        </w:rPr>
        <w:t>市发展和改革局</w:t>
      </w:r>
      <w:r>
        <w:rPr>
          <w:rFonts w:hint="eastAsia" w:eastAsia="仿宋_GB2312"/>
          <w:color w:val="000000"/>
          <w:sz w:val="32"/>
          <w:szCs w:val="32"/>
        </w:rPr>
        <w:t>负责解释，并根据东莞市新能源汽车推广应用和产业发展的实际，适时对相关内容或附件进行修订。</w:t>
      </w:r>
    </w:p>
    <w:p>
      <w:pPr>
        <w:spacing w:line="580" w:lineRule="exact"/>
        <w:ind w:firstLine="643" w:firstLineChars="200"/>
        <w:rPr>
          <w:rFonts w:eastAsia="仿宋_GB2312"/>
          <w:color w:val="000000"/>
          <w:sz w:val="32"/>
          <w:szCs w:val="32"/>
        </w:rPr>
      </w:pPr>
      <w:r>
        <w:rPr>
          <w:rFonts w:hint="eastAsia" w:eastAsia="仿宋_GB2312"/>
          <w:b/>
          <w:color w:val="000000"/>
          <w:sz w:val="32"/>
          <w:szCs w:val="32"/>
        </w:rPr>
        <w:t>第二十四条</w:t>
      </w:r>
      <w:r>
        <w:rPr>
          <w:rFonts w:eastAsia="仿宋_GB2312"/>
          <w:color w:val="000000"/>
          <w:sz w:val="32"/>
          <w:szCs w:val="32"/>
        </w:rPr>
        <w:t xml:space="preserve"> </w:t>
      </w:r>
      <w:r>
        <w:rPr>
          <w:rFonts w:hint="eastAsia" w:eastAsia="仿宋_GB2312"/>
          <w:color w:val="000000"/>
          <w:sz w:val="32"/>
          <w:szCs w:val="32"/>
        </w:rPr>
        <w:t>本办法自印发之日起执行，</w:t>
      </w:r>
      <w:r>
        <w:rPr>
          <w:rFonts w:hint="eastAsia" w:eastAsia="仿宋_GB2312"/>
          <w:sz w:val="32"/>
          <w:szCs w:val="32"/>
        </w:rPr>
        <w:t>有效期至新能源汽车推广应用工作完成。</w:t>
      </w:r>
      <w:r>
        <w:rPr>
          <w:rFonts w:hint="eastAsia" w:eastAsia="仿宋_GB2312"/>
          <w:color w:val="000000"/>
          <w:sz w:val="32"/>
          <w:szCs w:val="32"/>
        </w:rPr>
        <w:t>《东莞市新能源汽车推广应用资金管理办法》</w:t>
      </w:r>
      <w:r>
        <w:rPr>
          <w:rFonts w:eastAsia="仿宋_GB2312"/>
          <w:color w:val="000000"/>
          <w:sz w:val="32"/>
          <w:szCs w:val="32"/>
        </w:rPr>
        <w:t>(</w:t>
      </w:r>
      <w:r>
        <w:rPr>
          <w:rFonts w:hint="eastAsia" w:eastAsia="仿宋_GB2312"/>
          <w:color w:val="000000"/>
          <w:sz w:val="32"/>
          <w:szCs w:val="32"/>
        </w:rPr>
        <w:t>东发改〔</w:t>
      </w:r>
      <w:r>
        <w:rPr>
          <w:rFonts w:eastAsia="仿宋_GB2312"/>
          <w:color w:val="000000"/>
          <w:sz w:val="32"/>
          <w:szCs w:val="32"/>
        </w:rPr>
        <w:t>2015</w:t>
      </w:r>
      <w:r>
        <w:rPr>
          <w:rFonts w:hint="eastAsia" w:eastAsia="仿宋_GB2312"/>
          <w:color w:val="000000"/>
          <w:sz w:val="32"/>
          <w:szCs w:val="32"/>
        </w:rPr>
        <w:t>〕</w:t>
      </w:r>
      <w:r>
        <w:rPr>
          <w:rFonts w:eastAsia="仿宋_GB2312"/>
          <w:color w:val="000000"/>
          <w:sz w:val="32"/>
          <w:szCs w:val="32"/>
        </w:rPr>
        <w:t>491</w:t>
      </w:r>
      <w:r>
        <w:rPr>
          <w:rFonts w:hint="eastAsia" w:eastAsia="仿宋_GB2312"/>
          <w:color w:val="000000"/>
          <w:sz w:val="32"/>
          <w:szCs w:val="32"/>
        </w:rPr>
        <w:t>号</w:t>
      </w:r>
      <w:r>
        <w:rPr>
          <w:rFonts w:eastAsia="仿宋_GB2312"/>
          <w:color w:val="000000"/>
          <w:sz w:val="32"/>
          <w:szCs w:val="32"/>
        </w:rPr>
        <w:t xml:space="preserve">) </w:t>
      </w:r>
      <w:r>
        <w:rPr>
          <w:rFonts w:hint="eastAsia" w:eastAsia="仿宋_GB2312"/>
          <w:color w:val="000000"/>
          <w:sz w:val="32"/>
          <w:szCs w:val="32"/>
        </w:rPr>
        <w:t>同时予以废止。</w:t>
      </w:r>
    </w:p>
    <w:p>
      <w:pPr>
        <w:spacing w:line="600" w:lineRule="exact"/>
        <w:ind w:firstLine="630"/>
        <w:rPr>
          <w:rFonts w:eastAsia="仿宋_GB2312"/>
          <w:color w:val="000000"/>
          <w:sz w:val="32"/>
          <w:szCs w:val="32"/>
        </w:rPr>
        <w:sectPr>
          <w:pgSz w:w="11906" w:h="16838"/>
          <w:pgMar w:top="1701" w:right="1701" w:bottom="1701" w:left="1701" w:header="851" w:footer="992" w:gutter="0"/>
          <w:cols w:space="425" w:num="1"/>
          <w:docGrid w:linePitch="312" w:charSpace="0"/>
        </w:sectPr>
      </w:pPr>
    </w:p>
    <w:p>
      <w:pPr>
        <w:jc w:val="center"/>
        <w:rPr>
          <w:rFonts w:eastAsia="华康简标题宋"/>
          <w:sz w:val="42"/>
          <w:szCs w:val="42"/>
        </w:rPr>
      </w:pPr>
      <w:r>
        <w:rPr>
          <w:rFonts w:hint="eastAsia" w:eastAsia="华康简标题宋"/>
          <w:sz w:val="42"/>
          <w:szCs w:val="42"/>
        </w:rPr>
        <w:t>表</w:t>
      </w:r>
      <w:r>
        <w:rPr>
          <w:rFonts w:eastAsia="华康简标题宋"/>
          <w:sz w:val="42"/>
          <w:szCs w:val="42"/>
        </w:rPr>
        <w:t>1.</w:t>
      </w:r>
      <w:r>
        <w:rPr>
          <w:rFonts w:hint="eastAsia" w:eastAsia="华康简标题宋"/>
          <w:sz w:val="42"/>
          <w:szCs w:val="42"/>
        </w:rPr>
        <w:t>东莞市新能源汽车推广应用车辆购置补贴资金申请表</w:t>
      </w:r>
    </w:p>
    <w:p>
      <w:pPr>
        <w:ind w:firstLine="238"/>
        <w:rPr>
          <w:sz w:val="28"/>
          <w:szCs w:val="28"/>
        </w:rPr>
      </w:pPr>
      <w:r>
        <w:rPr>
          <w:rFonts w:hint="eastAsia"/>
          <w:sz w:val="28"/>
          <w:szCs w:val="28"/>
        </w:rPr>
        <w:t>资金</w:t>
      </w:r>
      <w:r>
        <w:rPr>
          <w:sz w:val="28"/>
          <w:szCs w:val="28"/>
        </w:rPr>
        <w:t>申请单位(盖章)：</w:t>
      </w:r>
    </w:p>
    <w:p>
      <w:pPr>
        <w:ind w:firstLine="238"/>
        <w:rPr>
          <w:sz w:val="28"/>
          <w:szCs w:val="28"/>
        </w:rPr>
      </w:pPr>
      <w:r>
        <w:rPr>
          <w:sz w:val="28"/>
          <w:szCs w:val="28"/>
        </w:rPr>
        <w:t>申请单位</w:t>
      </w:r>
      <w:r>
        <w:rPr>
          <w:rFonts w:hint="eastAsia"/>
          <w:sz w:val="28"/>
          <w:szCs w:val="28"/>
        </w:rPr>
        <w:t>银行对公</w:t>
      </w:r>
      <w:r>
        <w:rPr>
          <w:sz w:val="28"/>
          <w:szCs w:val="28"/>
        </w:rPr>
        <w:t>账号：</w:t>
      </w:r>
    </w:p>
    <w:p>
      <w:pPr>
        <w:ind w:firstLine="238"/>
        <w:rPr>
          <w:sz w:val="28"/>
          <w:szCs w:val="28"/>
        </w:rPr>
      </w:pPr>
      <w:r>
        <w:rPr>
          <w:rFonts w:hint="eastAsia"/>
          <w:sz w:val="28"/>
          <w:szCs w:val="28"/>
        </w:rPr>
        <w:t>企业法人、法人身份证号码、联系电话：</w:t>
      </w:r>
    </w:p>
    <w:p>
      <w:pPr>
        <w:ind w:firstLine="238"/>
        <w:rPr>
          <w:sz w:val="28"/>
          <w:szCs w:val="28"/>
        </w:rPr>
      </w:pPr>
      <w:r>
        <w:rPr>
          <w:rFonts w:hint="eastAsia"/>
          <w:sz w:val="28"/>
          <w:szCs w:val="28"/>
        </w:rPr>
        <w:t>经办</w:t>
      </w:r>
      <w:r>
        <w:rPr>
          <w:sz w:val="28"/>
          <w:szCs w:val="28"/>
        </w:rPr>
        <w:t>人</w:t>
      </w:r>
      <w:r>
        <w:rPr>
          <w:rFonts w:hint="eastAsia"/>
          <w:sz w:val="28"/>
          <w:szCs w:val="28"/>
        </w:rPr>
        <w:t>和联系电话：</w:t>
      </w:r>
    </w:p>
    <w:tbl>
      <w:tblPr>
        <w:tblStyle w:val="18"/>
        <w:tblW w:w="1530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38"/>
        <w:gridCol w:w="1738"/>
        <w:gridCol w:w="1738"/>
        <w:gridCol w:w="2017"/>
        <w:gridCol w:w="2017"/>
        <w:gridCol w:w="2017"/>
        <w:gridCol w:w="2017"/>
        <w:gridCol w:w="20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54" w:hRule="atLeast"/>
          <w:jc w:val="center"/>
        </w:trPr>
        <w:tc>
          <w:tcPr>
            <w:tcW w:w="1738" w:type="dxa"/>
            <w:shd w:val="clear" w:color="auto" w:fill="auto"/>
            <w:tcMar>
              <w:top w:w="0" w:type="dxa"/>
              <w:left w:w="108" w:type="dxa"/>
              <w:bottom w:w="0" w:type="dxa"/>
              <w:right w:w="108" w:type="dxa"/>
            </w:tcMar>
            <w:vAlign w:val="center"/>
          </w:tcPr>
          <w:p>
            <w:pPr>
              <w:jc w:val="center"/>
              <w:rPr>
                <w:b/>
                <w:szCs w:val="21"/>
              </w:rPr>
            </w:pPr>
            <w:r>
              <w:rPr>
                <w:b/>
                <w:bCs/>
                <w:szCs w:val="21"/>
              </w:rPr>
              <w:t>车辆</w:t>
            </w:r>
            <w:r>
              <w:rPr>
                <w:rFonts w:hint="eastAsia"/>
                <w:b/>
                <w:bCs/>
                <w:szCs w:val="21"/>
              </w:rPr>
              <w:t>类型</w:t>
            </w:r>
          </w:p>
        </w:tc>
        <w:tc>
          <w:tcPr>
            <w:tcW w:w="1738" w:type="dxa"/>
            <w:shd w:val="clear" w:color="auto" w:fill="auto"/>
            <w:tcMar>
              <w:top w:w="0" w:type="dxa"/>
              <w:left w:w="108" w:type="dxa"/>
              <w:bottom w:w="0" w:type="dxa"/>
              <w:right w:w="108" w:type="dxa"/>
            </w:tcMar>
            <w:vAlign w:val="center"/>
          </w:tcPr>
          <w:p>
            <w:pPr>
              <w:jc w:val="center"/>
              <w:rPr>
                <w:b/>
                <w:szCs w:val="21"/>
              </w:rPr>
            </w:pPr>
            <w:r>
              <w:rPr>
                <w:b/>
                <w:bCs/>
                <w:szCs w:val="21"/>
              </w:rPr>
              <w:t>车辆型号</w:t>
            </w:r>
          </w:p>
        </w:tc>
        <w:tc>
          <w:tcPr>
            <w:tcW w:w="1738" w:type="dxa"/>
            <w:shd w:val="clear" w:color="auto" w:fill="auto"/>
            <w:tcMar>
              <w:top w:w="0" w:type="dxa"/>
              <w:left w:w="108" w:type="dxa"/>
              <w:bottom w:w="0" w:type="dxa"/>
              <w:right w:w="108" w:type="dxa"/>
            </w:tcMar>
            <w:vAlign w:val="center"/>
          </w:tcPr>
          <w:p>
            <w:pPr>
              <w:jc w:val="center"/>
              <w:rPr>
                <w:b/>
                <w:szCs w:val="21"/>
              </w:rPr>
            </w:pPr>
            <w:r>
              <w:rPr>
                <w:rFonts w:hint="eastAsia"/>
                <w:b/>
                <w:bCs/>
                <w:szCs w:val="21"/>
              </w:rPr>
              <w:t>数量</w:t>
            </w:r>
            <w:r>
              <w:rPr>
                <w:b/>
                <w:bCs/>
                <w:szCs w:val="21"/>
              </w:rPr>
              <w:t>(辆)</w:t>
            </w:r>
          </w:p>
        </w:tc>
        <w:tc>
          <w:tcPr>
            <w:tcW w:w="2017" w:type="dxa"/>
            <w:shd w:val="clear" w:color="auto" w:fill="auto"/>
            <w:tcMar>
              <w:top w:w="0" w:type="dxa"/>
              <w:left w:w="108" w:type="dxa"/>
              <w:bottom w:w="0" w:type="dxa"/>
              <w:right w:w="108" w:type="dxa"/>
            </w:tcMar>
            <w:vAlign w:val="center"/>
          </w:tcPr>
          <w:p>
            <w:pPr>
              <w:jc w:val="center"/>
              <w:rPr>
                <w:b/>
                <w:bCs/>
                <w:szCs w:val="21"/>
              </w:rPr>
            </w:pPr>
            <w:r>
              <w:rPr>
                <w:b/>
                <w:bCs/>
                <w:szCs w:val="21"/>
              </w:rPr>
              <w:t>市场指导价</w:t>
            </w:r>
          </w:p>
          <w:p>
            <w:pPr>
              <w:jc w:val="center"/>
              <w:rPr>
                <w:b/>
                <w:szCs w:val="21"/>
              </w:rPr>
            </w:pPr>
            <w:r>
              <w:rPr>
                <w:b/>
                <w:bCs/>
                <w:szCs w:val="21"/>
              </w:rPr>
              <w:t>(万元/辆)</w:t>
            </w:r>
          </w:p>
        </w:tc>
        <w:tc>
          <w:tcPr>
            <w:tcW w:w="2017" w:type="dxa"/>
            <w:shd w:val="clear" w:color="auto" w:fill="auto"/>
            <w:tcMar>
              <w:top w:w="0" w:type="dxa"/>
              <w:left w:w="108" w:type="dxa"/>
              <w:bottom w:w="0" w:type="dxa"/>
              <w:right w:w="108" w:type="dxa"/>
            </w:tcMar>
            <w:vAlign w:val="center"/>
          </w:tcPr>
          <w:p>
            <w:pPr>
              <w:jc w:val="center"/>
              <w:rPr>
                <w:b/>
                <w:bCs/>
                <w:szCs w:val="21"/>
              </w:rPr>
            </w:pPr>
            <w:r>
              <w:rPr>
                <w:rFonts w:hint="eastAsia"/>
                <w:b/>
                <w:bCs/>
                <w:szCs w:val="21"/>
              </w:rPr>
              <w:t>消费者支付价格</w:t>
            </w:r>
          </w:p>
          <w:p>
            <w:pPr>
              <w:jc w:val="center"/>
              <w:rPr>
                <w:b/>
                <w:szCs w:val="21"/>
              </w:rPr>
            </w:pPr>
            <w:r>
              <w:rPr>
                <w:b/>
                <w:bCs/>
                <w:szCs w:val="21"/>
              </w:rPr>
              <w:t>(万元/辆)</w:t>
            </w:r>
          </w:p>
        </w:tc>
        <w:tc>
          <w:tcPr>
            <w:tcW w:w="2017" w:type="dxa"/>
            <w:shd w:val="clear" w:color="auto" w:fill="auto"/>
            <w:tcMar>
              <w:top w:w="0" w:type="dxa"/>
              <w:left w:w="108" w:type="dxa"/>
              <w:bottom w:w="0" w:type="dxa"/>
              <w:right w:w="108" w:type="dxa"/>
            </w:tcMar>
            <w:vAlign w:val="center"/>
          </w:tcPr>
          <w:p>
            <w:pPr>
              <w:jc w:val="center"/>
              <w:rPr>
                <w:b/>
                <w:szCs w:val="21"/>
              </w:rPr>
            </w:pPr>
            <w:r>
              <w:rPr>
                <w:b/>
                <w:bCs/>
                <w:szCs w:val="21"/>
              </w:rPr>
              <w:t>中央财政补贴</w:t>
            </w:r>
            <w:r>
              <w:rPr>
                <w:rFonts w:hint="eastAsia"/>
                <w:b/>
                <w:bCs/>
                <w:szCs w:val="21"/>
              </w:rPr>
              <w:t>标准</w:t>
            </w:r>
            <w:r>
              <w:rPr>
                <w:b/>
                <w:bCs/>
                <w:szCs w:val="21"/>
              </w:rPr>
              <w:t>(万元/辆)</w:t>
            </w:r>
          </w:p>
        </w:tc>
        <w:tc>
          <w:tcPr>
            <w:tcW w:w="2017" w:type="dxa"/>
            <w:vAlign w:val="center"/>
          </w:tcPr>
          <w:p>
            <w:pPr>
              <w:jc w:val="center"/>
              <w:rPr>
                <w:b/>
                <w:bCs/>
                <w:szCs w:val="21"/>
              </w:rPr>
            </w:pPr>
            <w:r>
              <w:rPr>
                <w:rFonts w:hint="eastAsia"/>
                <w:b/>
                <w:bCs/>
                <w:szCs w:val="21"/>
              </w:rPr>
              <w:t>地方财政补贴标准</w:t>
            </w:r>
          </w:p>
          <w:p>
            <w:pPr>
              <w:jc w:val="center"/>
              <w:rPr>
                <w:b/>
                <w:bCs/>
                <w:szCs w:val="21"/>
              </w:rPr>
            </w:pPr>
            <w:r>
              <w:rPr>
                <w:b/>
                <w:bCs/>
                <w:szCs w:val="21"/>
              </w:rPr>
              <w:t>(万元/辆)</w:t>
            </w:r>
          </w:p>
        </w:tc>
        <w:tc>
          <w:tcPr>
            <w:tcW w:w="2018" w:type="dxa"/>
            <w:shd w:val="clear" w:color="auto" w:fill="auto"/>
            <w:tcMar>
              <w:top w:w="0" w:type="dxa"/>
              <w:left w:w="108" w:type="dxa"/>
              <w:bottom w:w="0" w:type="dxa"/>
              <w:right w:w="108" w:type="dxa"/>
            </w:tcMar>
            <w:vAlign w:val="center"/>
          </w:tcPr>
          <w:p>
            <w:pPr>
              <w:jc w:val="center"/>
              <w:rPr>
                <w:b/>
                <w:szCs w:val="21"/>
              </w:rPr>
            </w:pPr>
            <w:r>
              <w:rPr>
                <w:rFonts w:hint="eastAsia"/>
                <w:b/>
                <w:bCs/>
                <w:szCs w:val="21"/>
              </w:rPr>
              <w:t>申请地方财政补贴金额</w:t>
            </w:r>
            <w:r>
              <w:rPr>
                <w:b/>
                <w:bCs/>
                <w:szCs w:val="21"/>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54" w:hRule="atLeast"/>
          <w:jc w:val="center"/>
        </w:trPr>
        <w:tc>
          <w:tcPr>
            <w:tcW w:w="1738" w:type="dxa"/>
            <w:shd w:val="clear" w:color="auto" w:fill="auto"/>
            <w:tcMar>
              <w:top w:w="0" w:type="dxa"/>
              <w:left w:w="108" w:type="dxa"/>
              <w:bottom w:w="0" w:type="dxa"/>
              <w:right w:w="108" w:type="dxa"/>
            </w:tcMar>
            <w:vAlign w:val="center"/>
          </w:tcPr>
          <w:p>
            <w:pPr>
              <w:jc w:val="center"/>
              <w:rPr>
                <w:szCs w:val="21"/>
              </w:rPr>
            </w:pPr>
          </w:p>
        </w:tc>
        <w:tc>
          <w:tcPr>
            <w:tcW w:w="1738" w:type="dxa"/>
            <w:shd w:val="clear" w:color="auto" w:fill="auto"/>
            <w:tcMar>
              <w:top w:w="0" w:type="dxa"/>
              <w:left w:w="108" w:type="dxa"/>
              <w:bottom w:w="0" w:type="dxa"/>
              <w:right w:w="108" w:type="dxa"/>
            </w:tcMar>
            <w:vAlign w:val="center"/>
          </w:tcPr>
          <w:p>
            <w:pPr>
              <w:jc w:val="center"/>
              <w:rPr>
                <w:szCs w:val="21"/>
              </w:rPr>
            </w:pPr>
          </w:p>
        </w:tc>
        <w:tc>
          <w:tcPr>
            <w:tcW w:w="1738" w:type="dxa"/>
            <w:shd w:val="clear" w:color="auto" w:fill="auto"/>
            <w:tcMar>
              <w:top w:w="0" w:type="dxa"/>
              <w:left w:w="108" w:type="dxa"/>
              <w:bottom w:w="0" w:type="dxa"/>
              <w:right w:w="108" w:type="dxa"/>
            </w:tcMar>
            <w:vAlign w:val="center"/>
          </w:tcPr>
          <w:p>
            <w:pPr>
              <w:jc w:val="center"/>
              <w:rPr>
                <w:szCs w:val="21"/>
              </w:rPr>
            </w:pPr>
          </w:p>
        </w:tc>
        <w:tc>
          <w:tcPr>
            <w:tcW w:w="2017" w:type="dxa"/>
            <w:shd w:val="clear" w:color="auto" w:fill="auto"/>
            <w:tcMar>
              <w:top w:w="0" w:type="dxa"/>
              <w:left w:w="108" w:type="dxa"/>
              <w:bottom w:w="0" w:type="dxa"/>
              <w:right w:w="108" w:type="dxa"/>
            </w:tcMar>
            <w:vAlign w:val="center"/>
          </w:tcPr>
          <w:p>
            <w:pPr>
              <w:jc w:val="center"/>
              <w:rPr>
                <w:szCs w:val="21"/>
              </w:rPr>
            </w:pPr>
          </w:p>
        </w:tc>
        <w:tc>
          <w:tcPr>
            <w:tcW w:w="2017" w:type="dxa"/>
            <w:shd w:val="clear" w:color="auto" w:fill="auto"/>
            <w:tcMar>
              <w:top w:w="0" w:type="dxa"/>
              <w:left w:w="108" w:type="dxa"/>
              <w:bottom w:w="0" w:type="dxa"/>
              <w:right w:w="108" w:type="dxa"/>
            </w:tcMar>
            <w:vAlign w:val="center"/>
          </w:tcPr>
          <w:p>
            <w:pPr>
              <w:jc w:val="center"/>
              <w:rPr>
                <w:szCs w:val="21"/>
              </w:rPr>
            </w:pPr>
          </w:p>
        </w:tc>
        <w:tc>
          <w:tcPr>
            <w:tcW w:w="2017" w:type="dxa"/>
            <w:shd w:val="clear" w:color="auto" w:fill="auto"/>
            <w:tcMar>
              <w:top w:w="0" w:type="dxa"/>
              <w:left w:w="108" w:type="dxa"/>
              <w:bottom w:w="0" w:type="dxa"/>
              <w:right w:w="108" w:type="dxa"/>
            </w:tcMar>
            <w:vAlign w:val="center"/>
          </w:tcPr>
          <w:p>
            <w:pPr>
              <w:jc w:val="center"/>
              <w:rPr>
                <w:szCs w:val="21"/>
              </w:rPr>
            </w:pPr>
          </w:p>
        </w:tc>
        <w:tc>
          <w:tcPr>
            <w:tcW w:w="2017" w:type="dxa"/>
            <w:vAlign w:val="center"/>
          </w:tcPr>
          <w:p>
            <w:pPr>
              <w:jc w:val="center"/>
              <w:rPr>
                <w:szCs w:val="21"/>
              </w:rPr>
            </w:pPr>
          </w:p>
        </w:tc>
        <w:tc>
          <w:tcPr>
            <w:tcW w:w="2018" w:type="dxa"/>
            <w:shd w:val="clear" w:color="auto" w:fill="auto"/>
            <w:tcMar>
              <w:top w:w="0" w:type="dxa"/>
              <w:left w:w="108" w:type="dxa"/>
              <w:bottom w:w="0" w:type="dxa"/>
              <w:right w:w="108" w:type="dxa"/>
            </w:tcMar>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54" w:hRule="atLeast"/>
          <w:jc w:val="center"/>
        </w:trPr>
        <w:tc>
          <w:tcPr>
            <w:tcW w:w="1738" w:type="dxa"/>
            <w:shd w:val="clear" w:color="auto" w:fill="auto"/>
            <w:tcMar>
              <w:top w:w="0" w:type="dxa"/>
              <w:left w:w="108" w:type="dxa"/>
              <w:bottom w:w="0" w:type="dxa"/>
              <w:right w:w="108" w:type="dxa"/>
            </w:tcMar>
            <w:vAlign w:val="center"/>
          </w:tcPr>
          <w:p>
            <w:pPr>
              <w:jc w:val="center"/>
              <w:rPr>
                <w:szCs w:val="21"/>
              </w:rPr>
            </w:pPr>
          </w:p>
        </w:tc>
        <w:tc>
          <w:tcPr>
            <w:tcW w:w="1738" w:type="dxa"/>
            <w:shd w:val="clear" w:color="auto" w:fill="auto"/>
            <w:tcMar>
              <w:top w:w="0" w:type="dxa"/>
              <w:left w:w="108" w:type="dxa"/>
              <w:bottom w:w="0" w:type="dxa"/>
              <w:right w:w="108" w:type="dxa"/>
            </w:tcMar>
            <w:vAlign w:val="center"/>
          </w:tcPr>
          <w:p>
            <w:pPr>
              <w:jc w:val="center"/>
              <w:rPr>
                <w:szCs w:val="21"/>
              </w:rPr>
            </w:pPr>
          </w:p>
        </w:tc>
        <w:tc>
          <w:tcPr>
            <w:tcW w:w="1738" w:type="dxa"/>
            <w:shd w:val="clear" w:color="auto" w:fill="auto"/>
            <w:tcMar>
              <w:top w:w="0" w:type="dxa"/>
              <w:left w:w="108" w:type="dxa"/>
              <w:bottom w:w="0" w:type="dxa"/>
              <w:right w:w="108" w:type="dxa"/>
            </w:tcMar>
            <w:vAlign w:val="center"/>
          </w:tcPr>
          <w:p>
            <w:pPr>
              <w:jc w:val="center"/>
              <w:rPr>
                <w:szCs w:val="21"/>
              </w:rPr>
            </w:pPr>
          </w:p>
        </w:tc>
        <w:tc>
          <w:tcPr>
            <w:tcW w:w="2017" w:type="dxa"/>
            <w:shd w:val="clear" w:color="auto" w:fill="auto"/>
            <w:tcMar>
              <w:top w:w="0" w:type="dxa"/>
              <w:left w:w="108" w:type="dxa"/>
              <w:bottom w:w="0" w:type="dxa"/>
              <w:right w:w="108" w:type="dxa"/>
            </w:tcMar>
            <w:vAlign w:val="center"/>
          </w:tcPr>
          <w:p>
            <w:pPr>
              <w:jc w:val="center"/>
              <w:rPr>
                <w:szCs w:val="21"/>
              </w:rPr>
            </w:pPr>
          </w:p>
        </w:tc>
        <w:tc>
          <w:tcPr>
            <w:tcW w:w="2017" w:type="dxa"/>
            <w:shd w:val="clear" w:color="auto" w:fill="auto"/>
            <w:tcMar>
              <w:top w:w="0" w:type="dxa"/>
              <w:left w:w="108" w:type="dxa"/>
              <w:bottom w:w="0" w:type="dxa"/>
              <w:right w:w="108" w:type="dxa"/>
            </w:tcMar>
            <w:vAlign w:val="center"/>
          </w:tcPr>
          <w:p>
            <w:pPr>
              <w:jc w:val="center"/>
              <w:rPr>
                <w:szCs w:val="21"/>
              </w:rPr>
            </w:pPr>
          </w:p>
        </w:tc>
        <w:tc>
          <w:tcPr>
            <w:tcW w:w="2017" w:type="dxa"/>
            <w:shd w:val="clear" w:color="auto" w:fill="auto"/>
            <w:tcMar>
              <w:top w:w="0" w:type="dxa"/>
              <w:left w:w="108" w:type="dxa"/>
              <w:bottom w:w="0" w:type="dxa"/>
              <w:right w:w="108" w:type="dxa"/>
            </w:tcMar>
            <w:vAlign w:val="center"/>
          </w:tcPr>
          <w:p>
            <w:pPr>
              <w:jc w:val="center"/>
              <w:rPr>
                <w:szCs w:val="21"/>
              </w:rPr>
            </w:pPr>
          </w:p>
        </w:tc>
        <w:tc>
          <w:tcPr>
            <w:tcW w:w="2017" w:type="dxa"/>
            <w:vAlign w:val="center"/>
          </w:tcPr>
          <w:p>
            <w:pPr>
              <w:jc w:val="center"/>
              <w:rPr>
                <w:szCs w:val="21"/>
              </w:rPr>
            </w:pPr>
          </w:p>
        </w:tc>
        <w:tc>
          <w:tcPr>
            <w:tcW w:w="2018" w:type="dxa"/>
            <w:shd w:val="clear" w:color="auto" w:fill="auto"/>
            <w:tcMar>
              <w:top w:w="0" w:type="dxa"/>
              <w:left w:w="108" w:type="dxa"/>
              <w:bottom w:w="0" w:type="dxa"/>
              <w:right w:w="108" w:type="dxa"/>
            </w:tcMar>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54" w:hRule="atLeast"/>
          <w:jc w:val="center"/>
        </w:trPr>
        <w:tc>
          <w:tcPr>
            <w:tcW w:w="1738" w:type="dxa"/>
            <w:shd w:val="clear" w:color="auto" w:fill="auto"/>
            <w:tcMar>
              <w:top w:w="0" w:type="dxa"/>
              <w:left w:w="108" w:type="dxa"/>
              <w:bottom w:w="0" w:type="dxa"/>
              <w:right w:w="108" w:type="dxa"/>
            </w:tcMar>
            <w:vAlign w:val="center"/>
          </w:tcPr>
          <w:p>
            <w:pPr>
              <w:jc w:val="center"/>
              <w:rPr>
                <w:szCs w:val="21"/>
              </w:rPr>
            </w:pPr>
          </w:p>
        </w:tc>
        <w:tc>
          <w:tcPr>
            <w:tcW w:w="1738" w:type="dxa"/>
            <w:shd w:val="clear" w:color="auto" w:fill="auto"/>
            <w:tcMar>
              <w:top w:w="0" w:type="dxa"/>
              <w:left w:w="108" w:type="dxa"/>
              <w:bottom w:w="0" w:type="dxa"/>
              <w:right w:w="108" w:type="dxa"/>
            </w:tcMar>
            <w:vAlign w:val="center"/>
          </w:tcPr>
          <w:p>
            <w:pPr>
              <w:jc w:val="center"/>
              <w:rPr>
                <w:szCs w:val="21"/>
              </w:rPr>
            </w:pPr>
          </w:p>
        </w:tc>
        <w:tc>
          <w:tcPr>
            <w:tcW w:w="1738" w:type="dxa"/>
            <w:shd w:val="clear" w:color="auto" w:fill="auto"/>
            <w:tcMar>
              <w:top w:w="0" w:type="dxa"/>
              <w:left w:w="108" w:type="dxa"/>
              <w:bottom w:w="0" w:type="dxa"/>
              <w:right w:w="108" w:type="dxa"/>
            </w:tcMar>
            <w:vAlign w:val="center"/>
          </w:tcPr>
          <w:p>
            <w:pPr>
              <w:jc w:val="center"/>
              <w:rPr>
                <w:szCs w:val="21"/>
              </w:rPr>
            </w:pPr>
          </w:p>
        </w:tc>
        <w:tc>
          <w:tcPr>
            <w:tcW w:w="2017" w:type="dxa"/>
            <w:shd w:val="clear" w:color="auto" w:fill="auto"/>
            <w:tcMar>
              <w:top w:w="0" w:type="dxa"/>
              <w:left w:w="108" w:type="dxa"/>
              <w:bottom w:w="0" w:type="dxa"/>
              <w:right w:w="108" w:type="dxa"/>
            </w:tcMar>
            <w:vAlign w:val="center"/>
          </w:tcPr>
          <w:p>
            <w:pPr>
              <w:jc w:val="center"/>
              <w:rPr>
                <w:szCs w:val="21"/>
              </w:rPr>
            </w:pPr>
          </w:p>
        </w:tc>
        <w:tc>
          <w:tcPr>
            <w:tcW w:w="2017" w:type="dxa"/>
            <w:shd w:val="clear" w:color="auto" w:fill="auto"/>
            <w:tcMar>
              <w:top w:w="0" w:type="dxa"/>
              <w:left w:w="108" w:type="dxa"/>
              <w:bottom w:w="0" w:type="dxa"/>
              <w:right w:w="108" w:type="dxa"/>
            </w:tcMar>
            <w:vAlign w:val="center"/>
          </w:tcPr>
          <w:p>
            <w:pPr>
              <w:jc w:val="center"/>
              <w:rPr>
                <w:szCs w:val="21"/>
              </w:rPr>
            </w:pPr>
          </w:p>
        </w:tc>
        <w:tc>
          <w:tcPr>
            <w:tcW w:w="2017" w:type="dxa"/>
            <w:shd w:val="clear" w:color="auto" w:fill="auto"/>
            <w:tcMar>
              <w:top w:w="0" w:type="dxa"/>
              <w:left w:w="108" w:type="dxa"/>
              <w:bottom w:w="0" w:type="dxa"/>
              <w:right w:w="108" w:type="dxa"/>
            </w:tcMar>
            <w:vAlign w:val="center"/>
          </w:tcPr>
          <w:p>
            <w:pPr>
              <w:jc w:val="center"/>
              <w:rPr>
                <w:szCs w:val="21"/>
              </w:rPr>
            </w:pPr>
          </w:p>
        </w:tc>
        <w:tc>
          <w:tcPr>
            <w:tcW w:w="2017" w:type="dxa"/>
            <w:vAlign w:val="center"/>
          </w:tcPr>
          <w:p>
            <w:pPr>
              <w:jc w:val="center"/>
              <w:rPr>
                <w:szCs w:val="21"/>
              </w:rPr>
            </w:pPr>
          </w:p>
        </w:tc>
        <w:tc>
          <w:tcPr>
            <w:tcW w:w="2018" w:type="dxa"/>
            <w:shd w:val="clear" w:color="auto" w:fill="auto"/>
            <w:tcMar>
              <w:top w:w="0" w:type="dxa"/>
              <w:left w:w="108" w:type="dxa"/>
              <w:bottom w:w="0" w:type="dxa"/>
              <w:right w:w="108" w:type="dxa"/>
            </w:tcMar>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723" w:hRule="atLeast"/>
          <w:jc w:val="center"/>
        </w:trPr>
        <w:tc>
          <w:tcPr>
            <w:tcW w:w="1738" w:type="dxa"/>
            <w:shd w:val="clear" w:color="auto" w:fill="auto"/>
            <w:tcMar>
              <w:top w:w="0" w:type="dxa"/>
              <w:left w:w="108" w:type="dxa"/>
              <w:bottom w:w="0" w:type="dxa"/>
              <w:right w:w="108" w:type="dxa"/>
            </w:tcMar>
            <w:vAlign w:val="center"/>
          </w:tcPr>
          <w:p>
            <w:pPr>
              <w:jc w:val="center"/>
              <w:rPr>
                <w:b/>
                <w:szCs w:val="21"/>
              </w:rPr>
            </w:pPr>
            <w:r>
              <w:rPr>
                <w:rFonts w:hint="eastAsia"/>
                <w:b/>
                <w:szCs w:val="21"/>
              </w:rPr>
              <w:t>合计</w:t>
            </w:r>
          </w:p>
        </w:tc>
        <w:tc>
          <w:tcPr>
            <w:tcW w:w="1738" w:type="dxa"/>
            <w:shd w:val="clear" w:color="auto" w:fill="auto"/>
            <w:tcMar>
              <w:top w:w="0" w:type="dxa"/>
              <w:left w:w="108" w:type="dxa"/>
              <w:bottom w:w="0" w:type="dxa"/>
              <w:right w:w="108" w:type="dxa"/>
            </w:tcMar>
            <w:vAlign w:val="center"/>
          </w:tcPr>
          <w:p>
            <w:pPr>
              <w:jc w:val="center"/>
              <w:rPr>
                <w:b/>
                <w:szCs w:val="21"/>
              </w:rPr>
            </w:pPr>
          </w:p>
        </w:tc>
        <w:tc>
          <w:tcPr>
            <w:tcW w:w="1738" w:type="dxa"/>
            <w:shd w:val="clear" w:color="auto" w:fill="auto"/>
            <w:vAlign w:val="center"/>
          </w:tcPr>
          <w:p>
            <w:pPr>
              <w:jc w:val="center"/>
              <w:rPr>
                <w:b/>
                <w:szCs w:val="21"/>
              </w:rPr>
            </w:pPr>
          </w:p>
        </w:tc>
        <w:tc>
          <w:tcPr>
            <w:tcW w:w="2017" w:type="dxa"/>
            <w:shd w:val="clear" w:color="auto" w:fill="auto"/>
            <w:vAlign w:val="center"/>
          </w:tcPr>
          <w:p>
            <w:pPr>
              <w:jc w:val="center"/>
              <w:rPr>
                <w:b/>
                <w:szCs w:val="21"/>
              </w:rPr>
            </w:pPr>
          </w:p>
        </w:tc>
        <w:tc>
          <w:tcPr>
            <w:tcW w:w="2017" w:type="dxa"/>
            <w:shd w:val="clear" w:color="auto" w:fill="auto"/>
            <w:vAlign w:val="center"/>
          </w:tcPr>
          <w:p>
            <w:pPr>
              <w:jc w:val="center"/>
              <w:rPr>
                <w:b/>
                <w:szCs w:val="21"/>
              </w:rPr>
            </w:pPr>
          </w:p>
        </w:tc>
        <w:tc>
          <w:tcPr>
            <w:tcW w:w="2017" w:type="dxa"/>
            <w:shd w:val="clear" w:color="auto" w:fill="auto"/>
            <w:vAlign w:val="center"/>
          </w:tcPr>
          <w:p>
            <w:pPr>
              <w:jc w:val="center"/>
              <w:rPr>
                <w:b/>
                <w:szCs w:val="21"/>
              </w:rPr>
            </w:pPr>
          </w:p>
        </w:tc>
        <w:tc>
          <w:tcPr>
            <w:tcW w:w="2017" w:type="dxa"/>
            <w:shd w:val="clear" w:color="auto" w:fill="auto"/>
            <w:vAlign w:val="center"/>
          </w:tcPr>
          <w:p>
            <w:pPr>
              <w:jc w:val="center"/>
              <w:rPr>
                <w:b/>
                <w:szCs w:val="21"/>
              </w:rPr>
            </w:pPr>
          </w:p>
        </w:tc>
        <w:tc>
          <w:tcPr>
            <w:tcW w:w="2018" w:type="dxa"/>
            <w:shd w:val="clear" w:color="auto" w:fill="auto"/>
            <w:vAlign w:val="center"/>
          </w:tcPr>
          <w:p>
            <w:pPr>
              <w:jc w:val="center"/>
              <w:rPr>
                <w:b/>
                <w:szCs w:val="21"/>
              </w:rPr>
            </w:pPr>
          </w:p>
        </w:tc>
      </w:tr>
    </w:tbl>
    <w:p>
      <w:pPr>
        <w:jc w:val="center"/>
        <w:rPr>
          <w:rFonts w:eastAsia="华康简标题宋"/>
          <w:sz w:val="42"/>
          <w:szCs w:val="42"/>
        </w:rPr>
      </w:pPr>
      <w:r>
        <w:rPr>
          <w:rFonts w:hint="eastAsia" w:eastAsia="华康简标题宋"/>
          <w:sz w:val="42"/>
          <w:szCs w:val="42"/>
        </w:rPr>
        <w:t>表</w:t>
      </w:r>
      <w:r>
        <w:rPr>
          <w:rFonts w:eastAsia="华康简标题宋"/>
          <w:sz w:val="42"/>
          <w:szCs w:val="42"/>
        </w:rPr>
        <w:t>2.</w:t>
      </w:r>
      <w:r>
        <w:rPr>
          <w:rFonts w:hint="eastAsia" w:eastAsia="华康简标题宋"/>
          <w:sz w:val="42"/>
          <w:szCs w:val="42"/>
        </w:rPr>
        <w:t>东莞市新能源汽车推广应用车辆购置补贴资金明细表</w:t>
      </w:r>
    </w:p>
    <w:p>
      <w:pPr>
        <w:ind w:firstLine="238"/>
        <w:rPr>
          <w:sz w:val="42"/>
          <w:szCs w:val="42"/>
        </w:rPr>
      </w:pPr>
      <w:r>
        <w:rPr>
          <w:rFonts w:hint="eastAsia"/>
          <w:sz w:val="28"/>
          <w:szCs w:val="28"/>
        </w:rPr>
        <w:t>填表</w:t>
      </w:r>
      <w:r>
        <w:rPr>
          <w:sz w:val="28"/>
          <w:szCs w:val="28"/>
        </w:rPr>
        <w:t>单位(盖章)：</w:t>
      </w:r>
    </w:p>
    <w:tbl>
      <w:tblPr>
        <w:tblStyle w:val="18"/>
        <w:tblW w:w="1539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99"/>
        <w:gridCol w:w="700"/>
        <w:gridCol w:w="699"/>
        <w:gridCol w:w="700"/>
        <w:gridCol w:w="700"/>
        <w:gridCol w:w="699"/>
        <w:gridCol w:w="700"/>
        <w:gridCol w:w="700"/>
        <w:gridCol w:w="699"/>
        <w:gridCol w:w="700"/>
        <w:gridCol w:w="700"/>
        <w:gridCol w:w="699"/>
        <w:gridCol w:w="700"/>
        <w:gridCol w:w="699"/>
        <w:gridCol w:w="700"/>
        <w:gridCol w:w="700"/>
        <w:gridCol w:w="699"/>
        <w:gridCol w:w="700"/>
        <w:gridCol w:w="700"/>
        <w:gridCol w:w="699"/>
        <w:gridCol w:w="700"/>
        <w:gridCol w:w="7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01" w:hRule="atLeast"/>
          <w:jc w:val="center"/>
        </w:trPr>
        <w:tc>
          <w:tcPr>
            <w:tcW w:w="699" w:type="dxa"/>
            <w:vAlign w:val="center"/>
          </w:tcPr>
          <w:p>
            <w:pPr>
              <w:jc w:val="center"/>
              <w:textAlignment w:val="center"/>
              <w:rPr>
                <w:b/>
                <w:sz w:val="18"/>
                <w:szCs w:val="18"/>
              </w:rPr>
            </w:pPr>
            <w:r>
              <w:rPr>
                <w:rFonts w:hint="eastAsia"/>
                <w:b/>
                <w:sz w:val="18"/>
                <w:szCs w:val="18"/>
              </w:rPr>
              <w:t>序号</w:t>
            </w:r>
          </w:p>
        </w:tc>
        <w:tc>
          <w:tcPr>
            <w:tcW w:w="700" w:type="dxa"/>
            <w:vAlign w:val="center"/>
          </w:tcPr>
          <w:p>
            <w:pPr>
              <w:jc w:val="center"/>
              <w:textAlignment w:val="center"/>
              <w:rPr>
                <w:b/>
                <w:sz w:val="18"/>
                <w:szCs w:val="18"/>
              </w:rPr>
            </w:pPr>
            <w:r>
              <w:rPr>
                <w:b/>
                <w:sz w:val="18"/>
                <w:szCs w:val="18"/>
              </w:rPr>
              <w:t>车辆运营单位(或个人姓名)</w:t>
            </w:r>
          </w:p>
        </w:tc>
        <w:tc>
          <w:tcPr>
            <w:tcW w:w="699" w:type="dxa"/>
            <w:vAlign w:val="center"/>
          </w:tcPr>
          <w:p>
            <w:pPr>
              <w:jc w:val="center"/>
              <w:textAlignment w:val="center"/>
              <w:rPr>
                <w:b/>
                <w:sz w:val="18"/>
                <w:szCs w:val="18"/>
              </w:rPr>
            </w:pPr>
            <w:r>
              <w:rPr>
                <w:b/>
                <w:sz w:val="18"/>
                <w:szCs w:val="18"/>
              </w:rPr>
              <w:t>汽车生产企业</w:t>
            </w:r>
          </w:p>
        </w:tc>
        <w:tc>
          <w:tcPr>
            <w:tcW w:w="700" w:type="dxa"/>
            <w:vAlign w:val="center"/>
          </w:tcPr>
          <w:p>
            <w:pPr>
              <w:jc w:val="center"/>
              <w:textAlignment w:val="center"/>
              <w:rPr>
                <w:b/>
                <w:sz w:val="18"/>
                <w:szCs w:val="18"/>
              </w:rPr>
            </w:pPr>
            <w:r>
              <w:rPr>
                <w:b/>
                <w:sz w:val="18"/>
                <w:szCs w:val="18"/>
              </w:rPr>
              <w:t>商标</w:t>
            </w:r>
          </w:p>
        </w:tc>
        <w:tc>
          <w:tcPr>
            <w:tcW w:w="700" w:type="dxa"/>
            <w:vAlign w:val="center"/>
          </w:tcPr>
          <w:p>
            <w:pPr>
              <w:jc w:val="center"/>
              <w:textAlignment w:val="center"/>
              <w:rPr>
                <w:b/>
                <w:sz w:val="18"/>
                <w:szCs w:val="18"/>
              </w:rPr>
            </w:pPr>
            <w:r>
              <w:rPr>
                <w:rFonts w:hint="eastAsia"/>
                <w:b/>
                <w:sz w:val="18"/>
                <w:szCs w:val="18"/>
              </w:rPr>
              <w:t>车牌号</w:t>
            </w:r>
          </w:p>
        </w:tc>
        <w:tc>
          <w:tcPr>
            <w:tcW w:w="699" w:type="dxa"/>
            <w:vAlign w:val="center"/>
          </w:tcPr>
          <w:p>
            <w:pPr>
              <w:jc w:val="center"/>
              <w:textAlignment w:val="center"/>
              <w:rPr>
                <w:b/>
                <w:sz w:val="18"/>
                <w:szCs w:val="18"/>
              </w:rPr>
            </w:pPr>
            <w:r>
              <w:rPr>
                <w:rFonts w:hint="eastAsia"/>
                <w:b/>
                <w:sz w:val="18"/>
                <w:szCs w:val="18"/>
              </w:rPr>
              <w:t>车架号</w:t>
            </w:r>
          </w:p>
        </w:tc>
        <w:tc>
          <w:tcPr>
            <w:tcW w:w="700" w:type="dxa"/>
            <w:vAlign w:val="center"/>
          </w:tcPr>
          <w:p>
            <w:pPr>
              <w:jc w:val="center"/>
              <w:textAlignment w:val="center"/>
              <w:rPr>
                <w:b/>
                <w:sz w:val="18"/>
                <w:szCs w:val="18"/>
              </w:rPr>
            </w:pPr>
            <w:r>
              <w:rPr>
                <w:b/>
                <w:sz w:val="18"/>
                <w:szCs w:val="18"/>
              </w:rPr>
              <w:t>车辆</w:t>
            </w:r>
          </w:p>
          <w:p>
            <w:pPr>
              <w:jc w:val="center"/>
              <w:textAlignment w:val="center"/>
              <w:rPr>
                <w:b/>
                <w:sz w:val="18"/>
                <w:szCs w:val="18"/>
              </w:rPr>
            </w:pPr>
            <w:r>
              <w:rPr>
                <w:b/>
                <w:sz w:val="18"/>
                <w:szCs w:val="18"/>
              </w:rPr>
              <w:t>种类</w:t>
            </w:r>
          </w:p>
        </w:tc>
        <w:tc>
          <w:tcPr>
            <w:tcW w:w="700" w:type="dxa"/>
            <w:vAlign w:val="center"/>
          </w:tcPr>
          <w:p>
            <w:pPr>
              <w:jc w:val="center"/>
              <w:textAlignment w:val="center"/>
              <w:rPr>
                <w:b/>
                <w:sz w:val="18"/>
                <w:szCs w:val="18"/>
              </w:rPr>
            </w:pPr>
            <w:r>
              <w:rPr>
                <w:b/>
                <w:sz w:val="18"/>
                <w:szCs w:val="18"/>
              </w:rPr>
              <w:t>车辆</w:t>
            </w:r>
          </w:p>
          <w:p>
            <w:pPr>
              <w:jc w:val="center"/>
              <w:textAlignment w:val="center"/>
              <w:rPr>
                <w:b/>
                <w:sz w:val="18"/>
                <w:szCs w:val="18"/>
              </w:rPr>
            </w:pPr>
            <w:r>
              <w:rPr>
                <w:b/>
                <w:sz w:val="18"/>
                <w:szCs w:val="18"/>
              </w:rPr>
              <w:t>用途</w:t>
            </w:r>
          </w:p>
        </w:tc>
        <w:tc>
          <w:tcPr>
            <w:tcW w:w="699" w:type="dxa"/>
            <w:vAlign w:val="center"/>
          </w:tcPr>
          <w:p>
            <w:pPr>
              <w:jc w:val="center"/>
              <w:textAlignment w:val="center"/>
              <w:rPr>
                <w:b/>
                <w:sz w:val="18"/>
                <w:szCs w:val="18"/>
              </w:rPr>
            </w:pPr>
            <w:r>
              <w:rPr>
                <w:b/>
                <w:sz w:val="18"/>
                <w:szCs w:val="18"/>
              </w:rPr>
              <w:t>车辆</w:t>
            </w:r>
          </w:p>
          <w:p>
            <w:pPr>
              <w:jc w:val="center"/>
              <w:textAlignment w:val="center"/>
              <w:rPr>
                <w:b/>
                <w:sz w:val="18"/>
                <w:szCs w:val="18"/>
              </w:rPr>
            </w:pPr>
            <w:r>
              <w:rPr>
                <w:b/>
                <w:sz w:val="18"/>
                <w:szCs w:val="18"/>
              </w:rPr>
              <w:t>型号</w:t>
            </w:r>
          </w:p>
        </w:tc>
        <w:tc>
          <w:tcPr>
            <w:tcW w:w="700" w:type="dxa"/>
            <w:vAlign w:val="center"/>
          </w:tcPr>
          <w:p>
            <w:pPr>
              <w:jc w:val="center"/>
              <w:textAlignment w:val="center"/>
              <w:rPr>
                <w:b/>
                <w:sz w:val="18"/>
                <w:szCs w:val="18"/>
              </w:rPr>
            </w:pPr>
            <w:r>
              <w:rPr>
                <w:b/>
                <w:sz w:val="18"/>
                <w:szCs w:val="18"/>
              </w:rPr>
              <w:t>发票时间(</w:t>
            </w:r>
            <w:r>
              <w:rPr>
                <w:rFonts w:hint="eastAsia"/>
                <w:b/>
                <w:sz w:val="18"/>
                <w:szCs w:val="18"/>
              </w:rPr>
              <w:t>年</w:t>
            </w:r>
            <w:r>
              <w:rPr>
                <w:b/>
                <w:sz w:val="18"/>
                <w:szCs w:val="18"/>
              </w:rPr>
              <w:t>月日)</w:t>
            </w:r>
          </w:p>
        </w:tc>
        <w:tc>
          <w:tcPr>
            <w:tcW w:w="700" w:type="dxa"/>
            <w:vAlign w:val="center"/>
          </w:tcPr>
          <w:p>
            <w:pPr>
              <w:jc w:val="center"/>
              <w:textAlignment w:val="center"/>
              <w:rPr>
                <w:b/>
                <w:sz w:val="18"/>
                <w:szCs w:val="18"/>
              </w:rPr>
            </w:pPr>
            <w:r>
              <w:rPr>
                <w:b/>
                <w:sz w:val="18"/>
                <w:szCs w:val="18"/>
              </w:rPr>
              <w:t>发票号</w:t>
            </w:r>
          </w:p>
        </w:tc>
        <w:tc>
          <w:tcPr>
            <w:tcW w:w="699" w:type="dxa"/>
            <w:vAlign w:val="center"/>
          </w:tcPr>
          <w:p>
            <w:pPr>
              <w:jc w:val="center"/>
              <w:textAlignment w:val="center"/>
              <w:rPr>
                <w:b/>
                <w:sz w:val="18"/>
                <w:szCs w:val="18"/>
              </w:rPr>
            </w:pPr>
            <w:r>
              <w:rPr>
                <w:b/>
                <w:sz w:val="18"/>
                <w:szCs w:val="18"/>
              </w:rPr>
              <w:t>行驶证</w:t>
            </w:r>
            <w:r>
              <w:rPr>
                <w:rFonts w:hint="eastAsia"/>
                <w:b/>
                <w:sz w:val="18"/>
                <w:szCs w:val="18"/>
              </w:rPr>
              <w:t>时间</w:t>
            </w:r>
            <w:r>
              <w:rPr>
                <w:b/>
                <w:sz w:val="18"/>
                <w:szCs w:val="18"/>
              </w:rPr>
              <w:t>(</w:t>
            </w:r>
            <w:r>
              <w:rPr>
                <w:rFonts w:hint="eastAsia"/>
                <w:b/>
                <w:sz w:val="18"/>
                <w:szCs w:val="18"/>
              </w:rPr>
              <w:t>年</w:t>
            </w:r>
            <w:r>
              <w:rPr>
                <w:b/>
                <w:sz w:val="18"/>
                <w:szCs w:val="18"/>
              </w:rPr>
              <w:t>月日)</w:t>
            </w:r>
          </w:p>
        </w:tc>
        <w:tc>
          <w:tcPr>
            <w:tcW w:w="700" w:type="dxa"/>
            <w:vAlign w:val="center"/>
          </w:tcPr>
          <w:p>
            <w:pPr>
              <w:jc w:val="center"/>
              <w:textAlignment w:val="center"/>
              <w:rPr>
                <w:b/>
                <w:sz w:val="18"/>
                <w:szCs w:val="18"/>
              </w:rPr>
            </w:pPr>
            <w:r>
              <w:rPr>
                <w:b/>
                <w:sz w:val="18"/>
                <w:szCs w:val="18"/>
              </w:rPr>
              <w:t>电池组总容量(千瓦时)</w:t>
            </w:r>
          </w:p>
        </w:tc>
        <w:tc>
          <w:tcPr>
            <w:tcW w:w="699" w:type="dxa"/>
            <w:vAlign w:val="center"/>
          </w:tcPr>
          <w:p>
            <w:pPr>
              <w:jc w:val="center"/>
              <w:textAlignment w:val="center"/>
              <w:rPr>
                <w:b/>
                <w:sz w:val="18"/>
                <w:szCs w:val="18"/>
              </w:rPr>
            </w:pPr>
            <w:r>
              <w:rPr>
                <w:b/>
                <w:sz w:val="18"/>
                <w:szCs w:val="18"/>
              </w:rPr>
              <w:t>纯电续驶里程(公里)</w:t>
            </w:r>
          </w:p>
        </w:tc>
        <w:tc>
          <w:tcPr>
            <w:tcW w:w="700" w:type="dxa"/>
            <w:vAlign w:val="center"/>
          </w:tcPr>
          <w:p>
            <w:pPr>
              <w:jc w:val="center"/>
              <w:textAlignment w:val="center"/>
              <w:rPr>
                <w:b/>
                <w:sz w:val="18"/>
                <w:szCs w:val="18"/>
              </w:rPr>
            </w:pPr>
            <w:r>
              <w:rPr>
                <w:b/>
                <w:sz w:val="18"/>
                <w:szCs w:val="18"/>
              </w:rPr>
              <w:t>车长(米)</w:t>
            </w:r>
          </w:p>
        </w:tc>
        <w:tc>
          <w:tcPr>
            <w:tcW w:w="700" w:type="dxa"/>
            <w:vAlign w:val="center"/>
          </w:tcPr>
          <w:p>
            <w:pPr>
              <w:jc w:val="center"/>
              <w:textAlignment w:val="center"/>
              <w:rPr>
                <w:b/>
                <w:sz w:val="18"/>
                <w:szCs w:val="18"/>
              </w:rPr>
            </w:pPr>
            <w:r>
              <w:rPr>
                <w:rFonts w:hint="eastAsia"/>
                <w:b/>
                <w:sz w:val="18"/>
                <w:szCs w:val="18"/>
              </w:rPr>
              <w:t>系统能量密度</w:t>
            </w:r>
            <w:r>
              <w:rPr>
                <w:b/>
                <w:sz w:val="18"/>
                <w:szCs w:val="18"/>
              </w:rPr>
              <w:t>(wh/kg)/</w:t>
            </w:r>
            <w:r>
              <w:rPr>
                <w:rFonts w:hint="eastAsia"/>
                <w:b/>
                <w:sz w:val="18"/>
                <w:szCs w:val="18"/>
              </w:rPr>
              <w:t>快充倍率</w:t>
            </w:r>
            <w:r>
              <w:rPr>
                <w:b/>
                <w:sz w:val="18"/>
                <w:szCs w:val="18"/>
              </w:rPr>
              <w:t>/</w:t>
            </w:r>
            <w:r>
              <w:rPr>
                <w:rFonts w:hint="eastAsia"/>
                <w:b/>
                <w:sz w:val="18"/>
                <w:szCs w:val="18"/>
              </w:rPr>
              <w:t>节油率水平</w:t>
            </w:r>
          </w:p>
        </w:tc>
        <w:tc>
          <w:tcPr>
            <w:tcW w:w="699" w:type="dxa"/>
            <w:vAlign w:val="center"/>
          </w:tcPr>
          <w:p>
            <w:pPr>
              <w:jc w:val="center"/>
              <w:textAlignment w:val="center"/>
              <w:rPr>
                <w:b/>
                <w:sz w:val="18"/>
                <w:szCs w:val="18"/>
              </w:rPr>
            </w:pPr>
            <w:r>
              <w:rPr>
                <w:rFonts w:hint="eastAsia"/>
                <w:b/>
                <w:sz w:val="18"/>
                <w:szCs w:val="18"/>
              </w:rPr>
              <w:t>单位载质量能量消耗量</w:t>
            </w:r>
            <w:r>
              <w:rPr>
                <w:b/>
                <w:sz w:val="18"/>
                <w:szCs w:val="18"/>
              </w:rPr>
              <w:t>(Ekg)</w:t>
            </w:r>
          </w:p>
        </w:tc>
        <w:tc>
          <w:tcPr>
            <w:tcW w:w="700" w:type="dxa"/>
            <w:vAlign w:val="center"/>
          </w:tcPr>
          <w:p>
            <w:pPr>
              <w:jc w:val="center"/>
              <w:textAlignment w:val="center"/>
              <w:rPr>
                <w:b/>
                <w:sz w:val="18"/>
                <w:szCs w:val="18"/>
              </w:rPr>
            </w:pPr>
            <w:r>
              <w:rPr>
                <w:rFonts w:hint="eastAsia"/>
                <w:b/>
                <w:sz w:val="18"/>
                <w:szCs w:val="18"/>
              </w:rPr>
              <w:t>车辆价格</w:t>
            </w:r>
            <w:r>
              <w:rPr>
                <w:b/>
                <w:sz w:val="18"/>
                <w:szCs w:val="18"/>
              </w:rPr>
              <w:t>(万元/辆)</w:t>
            </w:r>
          </w:p>
        </w:tc>
        <w:tc>
          <w:tcPr>
            <w:tcW w:w="700" w:type="dxa"/>
            <w:vAlign w:val="center"/>
          </w:tcPr>
          <w:p>
            <w:pPr>
              <w:jc w:val="center"/>
              <w:textAlignment w:val="center"/>
              <w:rPr>
                <w:b/>
                <w:sz w:val="18"/>
                <w:szCs w:val="18"/>
              </w:rPr>
            </w:pPr>
            <w:r>
              <w:rPr>
                <w:rFonts w:hint="eastAsia"/>
                <w:b/>
                <w:sz w:val="18"/>
                <w:szCs w:val="18"/>
              </w:rPr>
              <w:t>中央财政</w:t>
            </w:r>
            <w:r>
              <w:rPr>
                <w:b/>
                <w:sz w:val="18"/>
                <w:szCs w:val="18"/>
              </w:rPr>
              <w:t>补贴标准(万元/辆)</w:t>
            </w:r>
          </w:p>
        </w:tc>
        <w:tc>
          <w:tcPr>
            <w:tcW w:w="699" w:type="dxa"/>
            <w:vAlign w:val="center"/>
          </w:tcPr>
          <w:p>
            <w:pPr>
              <w:jc w:val="center"/>
              <w:textAlignment w:val="center"/>
              <w:rPr>
                <w:b/>
                <w:sz w:val="18"/>
                <w:szCs w:val="18"/>
              </w:rPr>
            </w:pPr>
            <w:r>
              <w:rPr>
                <w:rFonts w:hint="eastAsia"/>
                <w:b/>
                <w:sz w:val="18"/>
                <w:szCs w:val="18"/>
              </w:rPr>
              <w:t>地方</w:t>
            </w:r>
            <w:r>
              <w:rPr>
                <w:b/>
                <w:sz w:val="18"/>
                <w:szCs w:val="18"/>
              </w:rPr>
              <w:t>财政补贴比例</w:t>
            </w:r>
          </w:p>
        </w:tc>
        <w:tc>
          <w:tcPr>
            <w:tcW w:w="700" w:type="dxa"/>
            <w:vAlign w:val="center"/>
          </w:tcPr>
          <w:p>
            <w:pPr>
              <w:jc w:val="center"/>
              <w:textAlignment w:val="center"/>
              <w:rPr>
                <w:b/>
                <w:sz w:val="18"/>
                <w:szCs w:val="18"/>
              </w:rPr>
            </w:pPr>
            <w:r>
              <w:rPr>
                <w:rFonts w:hint="eastAsia"/>
                <w:b/>
                <w:sz w:val="18"/>
                <w:szCs w:val="18"/>
              </w:rPr>
              <w:t>地方</w:t>
            </w:r>
            <w:r>
              <w:rPr>
                <w:b/>
                <w:sz w:val="18"/>
                <w:szCs w:val="18"/>
              </w:rPr>
              <w:t>财政补贴标准(万元/辆)</w:t>
            </w:r>
          </w:p>
        </w:tc>
        <w:tc>
          <w:tcPr>
            <w:tcW w:w="700" w:type="dxa"/>
            <w:vAlign w:val="center"/>
          </w:tcPr>
          <w:p>
            <w:pPr>
              <w:jc w:val="center"/>
              <w:textAlignment w:val="center"/>
              <w:rPr>
                <w:b/>
                <w:sz w:val="18"/>
                <w:szCs w:val="18"/>
              </w:rPr>
            </w:pPr>
            <w:r>
              <w:rPr>
                <w:b/>
                <w:sz w:val="18"/>
                <w:szCs w:val="18"/>
              </w:rPr>
              <w:t>申请补贴资金额度</w:t>
            </w:r>
          </w:p>
          <w:p>
            <w:pPr>
              <w:jc w:val="center"/>
              <w:textAlignment w:val="center"/>
              <w:rPr>
                <w:b/>
                <w:sz w:val="18"/>
                <w:szCs w:val="18"/>
              </w:rPr>
            </w:pPr>
            <w:r>
              <w:rPr>
                <w:b/>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699" w:type="dxa"/>
            <w:vAlign w:val="center"/>
          </w:tcPr>
          <w:p>
            <w:pPr>
              <w:jc w:val="center"/>
              <w:rPr>
                <w:sz w:val="18"/>
                <w:szCs w:val="18"/>
              </w:rPr>
            </w:pPr>
            <w:r>
              <w:rPr>
                <w:sz w:val="18"/>
                <w:szCs w:val="18"/>
              </w:rPr>
              <w:t>1</w:t>
            </w:r>
          </w:p>
        </w:tc>
        <w:tc>
          <w:tcPr>
            <w:tcW w:w="700" w:type="dxa"/>
            <w:shd w:val="clear" w:color="auto" w:fill="auto"/>
            <w:vAlign w:val="center"/>
          </w:tcPr>
          <w:p>
            <w:pPr>
              <w:jc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699" w:type="dxa"/>
            <w:vAlign w:val="center"/>
          </w:tcPr>
          <w:p>
            <w:pPr>
              <w:jc w:val="center"/>
              <w:rPr>
                <w:sz w:val="18"/>
                <w:szCs w:val="18"/>
              </w:rPr>
            </w:pPr>
            <w:r>
              <w:rPr>
                <w:sz w:val="18"/>
                <w:szCs w:val="18"/>
              </w:rPr>
              <w:t>2</w:t>
            </w:r>
          </w:p>
        </w:tc>
        <w:tc>
          <w:tcPr>
            <w:tcW w:w="700" w:type="dxa"/>
            <w:shd w:val="clear" w:color="auto" w:fill="auto"/>
            <w:vAlign w:val="center"/>
          </w:tcPr>
          <w:p>
            <w:pPr>
              <w:jc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699" w:type="dxa"/>
            <w:vAlign w:val="center"/>
          </w:tcPr>
          <w:p>
            <w:pPr>
              <w:jc w:val="center"/>
              <w:rPr>
                <w:sz w:val="18"/>
                <w:szCs w:val="18"/>
              </w:rPr>
            </w:pPr>
            <w:r>
              <w:rPr>
                <w:sz w:val="18"/>
                <w:szCs w:val="18"/>
              </w:rPr>
              <w:t>3</w:t>
            </w:r>
          </w:p>
        </w:tc>
        <w:tc>
          <w:tcPr>
            <w:tcW w:w="700" w:type="dxa"/>
            <w:shd w:val="clear" w:color="auto" w:fill="auto"/>
            <w:vAlign w:val="center"/>
          </w:tcPr>
          <w:p>
            <w:pPr>
              <w:jc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699" w:type="dxa"/>
            <w:vAlign w:val="center"/>
          </w:tcPr>
          <w:p>
            <w:pPr>
              <w:jc w:val="center"/>
              <w:rPr>
                <w:sz w:val="18"/>
                <w:szCs w:val="18"/>
              </w:rPr>
            </w:pPr>
            <w:r>
              <w:rPr>
                <w:sz w:val="18"/>
                <w:szCs w:val="18"/>
              </w:rPr>
              <w:t>4</w:t>
            </w:r>
          </w:p>
        </w:tc>
        <w:tc>
          <w:tcPr>
            <w:tcW w:w="700" w:type="dxa"/>
            <w:shd w:val="clear" w:color="auto" w:fill="auto"/>
            <w:vAlign w:val="center"/>
          </w:tcPr>
          <w:p>
            <w:pPr>
              <w:jc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699" w:type="dxa"/>
            <w:vAlign w:val="center"/>
          </w:tcPr>
          <w:p>
            <w:pPr>
              <w:jc w:val="center"/>
              <w:rPr>
                <w:sz w:val="18"/>
                <w:szCs w:val="18"/>
              </w:rPr>
            </w:pPr>
            <w:r>
              <w:rPr>
                <w:sz w:val="18"/>
                <w:szCs w:val="18"/>
              </w:rPr>
              <w:t>5</w:t>
            </w:r>
          </w:p>
        </w:tc>
        <w:tc>
          <w:tcPr>
            <w:tcW w:w="700" w:type="dxa"/>
            <w:shd w:val="clear" w:color="auto" w:fill="auto"/>
            <w:vAlign w:val="center"/>
          </w:tcPr>
          <w:p>
            <w:pPr>
              <w:jc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699" w:type="dxa"/>
            <w:vAlign w:val="center"/>
          </w:tcPr>
          <w:p>
            <w:pPr>
              <w:jc w:val="center"/>
              <w:rPr>
                <w:sz w:val="18"/>
                <w:szCs w:val="18"/>
              </w:rPr>
            </w:pPr>
            <w:r>
              <w:rPr>
                <w:sz w:val="18"/>
                <w:szCs w:val="18"/>
              </w:rPr>
              <w:t>6</w:t>
            </w:r>
          </w:p>
        </w:tc>
        <w:tc>
          <w:tcPr>
            <w:tcW w:w="700" w:type="dxa"/>
            <w:shd w:val="clear" w:color="auto" w:fill="auto"/>
            <w:vAlign w:val="center"/>
          </w:tcPr>
          <w:p>
            <w:pPr>
              <w:jc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699" w:type="dxa"/>
            <w:vAlign w:val="center"/>
          </w:tcPr>
          <w:p>
            <w:pPr>
              <w:jc w:val="center"/>
              <w:rPr>
                <w:sz w:val="18"/>
                <w:szCs w:val="18"/>
              </w:rPr>
            </w:pPr>
            <w:r>
              <w:rPr>
                <w:sz w:val="18"/>
                <w:szCs w:val="18"/>
              </w:rPr>
              <w:t>7</w:t>
            </w:r>
          </w:p>
        </w:tc>
        <w:tc>
          <w:tcPr>
            <w:tcW w:w="700" w:type="dxa"/>
            <w:shd w:val="clear" w:color="auto" w:fill="auto"/>
            <w:vAlign w:val="center"/>
          </w:tcPr>
          <w:p>
            <w:pPr>
              <w:jc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699" w:type="dxa"/>
            <w:vAlign w:val="center"/>
          </w:tcPr>
          <w:p>
            <w:pPr>
              <w:jc w:val="center"/>
              <w:rPr>
                <w:sz w:val="18"/>
                <w:szCs w:val="18"/>
              </w:rPr>
            </w:pPr>
            <w:r>
              <w:rPr>
                <w:rFonts w:hint="eastAsia"/>
                <w:sz w:val="18"/>
                <w:szCs w:val="18"/>
              </w:rPr>
              <w:t>……</w:t>
            </w:r>
          </w:p>
        </w:tc>
        <w:tc>
          <w:tcPr>
            <w:tcW w:w="700" w:type="dxa"/>
            <w:shd w:val="clear" w:color="auto" w:fill="auto"/>
            <w:vAlign w:val="center"/>
          </w:tcPr>
          <w:p>
            <w:pPr>
              <w:jc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699"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c>
          <w:tcPr>
            <w:tcW w:w="700" w:type="dxa"/>
            <w:vAlign w:val="center"/>
          </w:tcPr>
          <w:p>
            <w:pPr>
              <w:jc w:val="center"/>
              <w:textAlignment w:val="center"/>
              <w:rPr>
                <w:sz w:val="18"/>
                <w:szCs w:val="18"/>
              </w:rPr>
            </w:pPr>
          </w:p>
        </w:tc>
      </w:tr>
    </w:tbl>
    <w:p>
      <w:pPr>
        <w:ind w:left="840" w:hanging="840" w:hangingChars="400"/>
        <w:rPr>
          <w:szCs w:val="21"/>
        </w:rPr>
      </w:pPr>
      <w:r>
        <w:rPr>
          <w:rFonts w:hint="eastAsia"/>
          <w:szCs w:val="21"/>
        </w:rPr>
        <w:t>备注：</w:t>
      </w:r>
      <w:r>
        <w:rPr>
          <w:szCs w:val="21"/>
        </w:rPr>
        <w:t>1.车辆种类包括</w:t>
      </w:r>
      <w:r>
        <w:rPr>
          <w:rFonts w:hint="eastAsia"/>
          <w:szCs w:val="21"/>
        </w:rPr>
        <w:t>：快充类</w:t>
      </w:r>
      <w:r>
        <w:rPr>
          <w:szCs w:val="21"/>
        </w:rPr>
        <w:t>纯电动客车、</w:t>
      </w:r>
      <w:r>
        <w:rPr>
          <w:rFonts w:hint="eastAsia"/>
          <w:szCs w:val="21"/>
        </w:rPr>
        <w:t>非快充类纯电动客车、</w:t>
      </w:r>
      <w:r>
        <w:rPr>
          <w:szCs w:val="21"/>
        </w:rPr>
        <w:t>纯电动</w:t>
      </w:r>
      <w:r>
        <w:rPr>
          <w:rFonts w:hint="eastAsia"/>
          <w:szCs w:val="21"/>
        </w:rPr>
        <w:t>货车和</w:t>
      </w:r>
      <w:r>
        <w:rPr>
          <w:szCs w:val="21"/>
        </w:rPr>
        <w:t>专用车等。</w:t>
      </w:r>
    </w:p>
    <w:p>
      <w:pPr>
        <w:ind w:left="840" w:hanging="840" w:hangingChars="400"/>
        <w:rPr>
          <w:szCs w:val="21"/>
        </w:rPr>
      </w:pPr>
      <w:r>
        <w:rPr>
          <w:szCs w:val="21"/>
        </w:rPr>
        <w:t xml:space="preserve">      2.</w:t>
      </w:r>
      <w:r>
        <w:rPr>
          <w:rFonts w:hint="eastAsia"/>
          <w:szCs w:val="21"/>
        </w:rPr>
        <w:t>非快充类纯电动客车填写系统能量密度；快充类纯电动客车填写快充倍率。</w:t>
      </w:r>
    </w:p>
    <w:p>
      <w:pPr>
        <w:rPr>
          <w:szCs w:val="21"/>
        </w:rPr>
      </w:pPr>
      <w:r>
        <w:rPr>
          <w:szCs w:val="21"/>
        </w:rPr>
        <w:t xml:space="preserve">      3.</w:t>
      </w:r>
      <w:r>
        <w:rPr>
          <w:rFonts w:hint="eastAsia"/>
          <w:szCs w:val="21"/>
        </w:rPr>
        <w:t>每辆车单独填写一行。</w:t>
      </w:r>
    </w:p>
    <w:p>
      <w:pPr>
        <w:rPr>
          <w:szCs w:val="21"/>
        </w:rPr>
      </w:pPr>
    </w:p>
    <w:p>
      <w:pPr>
        <w:rPr>
          <w:rFonts w:eastAsia="黑体"/>
          <w:b/>
          <w:sz w:val="32"/>
          <w:szCs w:val="32"/>
        </w:rPr>
      </w:pPr>
    </w:p>
    <w:p>
      <w:pPr>
        <w:jc w:val="center"/>
        <w:rPr>
          <w:rFonts w:eastAsia="华康简标题宋"/>
          <w:sz w:val="42"/>
          <w:szCs w:val="42"/>
        </w:rPr>
      </w:pPr>
      <w:r>
        <w:rPr>
          <w:rFonts w:hint="eastAsia" w:eastAsia="华康简标题宋"/>
          <w:sz w:val="42"/>
          <w:szCs w:val="42"/>
        </w:rPr>
        <w:t>表</w:t>
      </w:r>
      <w:r>
        <w:rPr>
          <w:rFonts w:eastAsia="华康简标题宋"/>
          <w:sz w:val="42"/>
          <w:szCs w:val="42"/>
        </w:rPr>
        <w:t>3.</w:t>
      </w:r>
      <w:r>
        <w:rPr>
          <w:rFonts w:hint="eastAsia" w:eastAsia="华康简标题宋"/>
          <w:sz w:val="42"/>
          <w:szCs w:val="42"/>
        </w:rPr>
        <w:t>东莞市纯电动汽车充电设施建设补贴资金申请表</w:t>
      </w:r>
    </w:p>
    <w:p>
      <w:pPr>
        <w:ind w:firstLine="238"/>
        <w:rPr>
          <w:sz w:val="28"/>
          <w:szCs w:val="28"/>
        </w:rPr>
      </w:pPr>
      <w:r>
        <w:rPr>
          <w:rFonts w:hint="eastAsia"/>
          <w:sz w:val="28"/>
          <w:szCs w:val="28"/>
        </w:rPr>
        <w:t>资金</w:t>
      </w:r>
      <w:r>
        <w:rPr>
          <w:sz w:val="28"/>
          <w:szCs w:val="28"/>
        </w:rPr>
        <w:t>申请单位(盖章)：</w:t>
      </w:r>
    </w:p>
    <w:p>
      <w:pPr>
        <w:ind w:firstLine="238"/>
        <w:rPr>
          <w:sz w:val="28"/>
          <w:szCs w:val="28"/>
        </w:rPr>
      </w:pPr>
      <w:r>
        <w:rPr>
          <w:sz w:val="28"/>
          <w:szCs w:val="28"/>
        </w:rPr>
        <w:t>申请单位</w:t>
      </w:r>
      <w:r>
        <w:rPr>
          <w:rFonts w:hint="eastAsia"/>
          <w:sz w:val="28"/>
          <w:szCs w:val="28"/>
        </w:rPr>
        <w:t>银行对公</w:t>
      </w:r>
      <w:r>
        <w:rPr>
          <w:sz w:val="28"/>
          <w:szCs w:val="28"/>
        </w:rPr>
        <w:t>账号：</w:t>
      </w:r>
    </w:p>
    <w:p>
      <w:pPr>
        <w:ind w:firstLine="238"/>
        <w:rPr>
          <w:sz w:val="28"/>
          <w:szCs w:val="28"/>
        </w:rPr>
      </w:pPr>
      <w:r>
        <w:rPr>
          <w:rFonts w:hint="eastAsia"/>
          <w:sz w:val="28"/>
          <w:szCs w:val="28"/>
        </w:rPr>
        <w:t>企业法人、法人身份证号码、联系电话：</w:t>
      </w:r>
    </w:p>
    <w:p>
      <w:pPr>
        <w:ind w:firstLine="238"/>
        <w:rPr>
          <w:sz w:val="28"/>
          <w:szCs w:val="28"/>
        </w:rPr>
      </w:pPr>
      <w:r>
        <w:rPr>
          <w:rFonts w:hint="eastAsia"/>
          <w:sz w:val="28"/>
          <w:szCs w:val="28"/>
        </w:rPr>
        <w:t>经办</w:t>
      </w:r>
      <w:r>
        <w:rPr>
          <w:sz w:val="28"/>
          <w:szCs w:val="28"/>
        </w:rPr>
        <w:t>人</w:t>
      </w:r>
      <w:r>
        <w:rPr>
          <w:rFonts w:hint="eastAsia"/>
          <w:sz w:val="28"/>
          <w:szCs w:val="28"/>
        </w:rPr>
        <w:t>和联系电话：</w:t>
      </w:r>
    </w:p>
    <w:tbl>
      <w:tblPr>
        <w:tblStyle w:val="18"/>
        <w:tblW w:w="1543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15"/>
        <w:gridCol w:w="1715"/>
        <w:gridCol w:w="1715"/>
        <w:gridCol w:w="1715"/>
        <w:gridCol w:w="1715"/>
        <w:gridCol w:w="1715"/>
        <w:gridCol w:w="1715"/>
        <w:gridCol w:w="1715"/>
        <w:gridCol w:w="17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65" w:hRule="atLeast"/>
          <w:jc w:val="center"/>
        </w:trPr>
        <w:tc>
          <w:tcPr>
            <w:tcW w:w="1715" w:type="dxa"/>
            <w:shd w:val="clear" w:color="auto" w:fill="auto"/>
            <w:tcMar>
              <w:top w:w="0" w:type="dxa"/>
              <w:left w:w="108" w:type="dxa"/>
              <w:bottom w:w="0" w:type="dxa"/>
              <w:right w:w="108" w:type="dxa"/>
            </w:tcMar>
            <w:vAlign w:val="center"/>
          </w:tcPr>
          <w:p>
            <w:pPr>
              <w:jc w:val="center"/>
              <w:rPr>
                <w:b/>
                <w:szCs w:val="21"/>
              </w:rPr>
            </w:pPr>
            <w:r>
              <w:rPr>
                <w:rFonts w:hint="eastAsia"/>
                <w:b/>
                <w:bCs/>
                <w:szCs w:val="21"/>
              </w:rPr>
              <w:t>设施权属单位</w:t>
            </w:r>
          </w:p>
        </w:tc>
        <w:tc>
          <w:tcPr>
            <w:tcW w:w="1715" w:type="dxa"/>
            <w:shd w:val="clear" w:color="auto" w:fill="auto"/>
            <w:tcMar>
              <w:top w:w="0" w:type="dxa"/>
              <w:left w:w="108" w:type="dxa"/>
              <w:bottom w:w="0" w:type="dxa"/>
              <w:right w:w="108" w:type="dxa"/>
            </w:tcMar>
            <w:vAlign w:val="center"/>
          </w:tcPr>
          <w:p>
            <w:pPr>
              <w:jc w:val="center"/>
              <w:rPr>
                <w:b/>
                <w:szCs w:val="21"/>
              </w:rPr>
            </w:pPr>
            <w:r>
              <w:rPr>
                <w:rFonts w:hint="eastAsia"/>
                <w:b/>
                <w:bCs/>
                <w:szCs w:val="21"/>
              </w:rPr>
              <w:t>设施类型</w:t>
            </w:r>
          </w:p>
        </w:tc>
        <w:tc>
          <w:tcPr>
            <w:tcW w:w="1715" w:type="dxa"/>
            <w:shd w:val="clear" w:color="auto" w:fill="auto"/>
            <w:tcMar>
              <w:top w:w="0" w:type="dxa"/>
              <w:left w:w="108" w:type="dxa"/>
              <w:bottom w:w="0" w:type="dxa"/>
              <w:right w:w="108" w:type="dxa"/>
            </w:tcMar>
            <w:vAlign w:val="center"/>
          </w:tcPr>
          <w:p>
            <w:pPr>
              <w:jc w:val="center"/>
              <w:rPr>
                <w:b/>
                <w:bCs/>
                <w:szCs w:val="21"/>
              </w:rPr>
            </w:pPr>
            <w:r>
              <w:rPr>
                <w:rFonts w:hint="eastAsia"/>
                <w:b/>
                <w:szCs w:val="21"/>
              </w:rPr>
              <w:t>额定输出功率</w:t>
            </w:r>
            <w:r>
              <w:rPr>
                <w:b/>
                <w:szCs w:val="21"/>
              </w:rPr>
              <w:t>(</w:t>
            </w:r>
            <w:r>
              <w:rPr>
                <w:rFonts w:hint="eastAsia"/>
                <w:b/>
                <w:szCs w:val="21"/>
              </w:rPr>
              <w:t>千瓦</w:t>
            </w:r>
            <w:r>
              <w:rPr>
                <w:b/>
                <w:szCs w:val="21"/>
              </w:rPr>
              <w:t>)</w:t>
            </w:r>
          </w:p>
        </w:tc>
        <w:tc>
          <w:tcPr>
            <w:tcW w:w="1715" w:type="dxa"/>
            <w:vAlign w:val="center"/>
          </w:tcPr>
          <w:p>
            <w:pPr>
              <w:jc w:val="center"/>
              <w:rPr>
                <w:b/>
                <w:bCs/>
                <w:szCs w:val="21"/>
              </w:rPr>
            </w:pPr>
            <w:r>
              <w:rPr>
                <w:rFonts w:hint="eastAsia"/>
                <w:b/>
                <w:bCs/>
                <w:szCs w:val="21"/>
              </w:rPr>
              <w:t>设施数量</w:t>
            </w:r>
          </w:p>
          <w:p>
            <w:pPr>
              <w:jc w:val="center"/>
              <w:rPr>
                <w:b/>
                <w:bCs/>
                <w:szCs w:val="21"/>
              </w:rPr>
            </w:pPr>
            <w:r>
              <w:rPr>
                <w:b/>
                <w:bCs/>
                <w:szCs w:val="21"/>
              </w:rPr>
              <w:t>(</w:t>
            </w:r>
            <w:r>
              <w:rPr>
                <w:rFonts w:hint="eastAsia"/>
                <w:b/>
                <w:bCs/>
                <w:szCs w:val="21"/>
              </w:rPr>
              <w:t>台</w:t>
            </w:r>
            <w:r>
              <w:rPr>
                <w:b/>
                <w:bCs/>
                <w:szCs w:val="21"/>
              </w:rPr>
              <w:t>/</w:t>
            </w:r>
            <w:r>
              <w:rPr>
                <w:rFonts w:hint="eastAsia"/>
                <w:b/>
                <w:bCs/>
                <w:szCs w:val="21"/>
              </w:rPr>
              <w:t>套</w:t>
            </w:r>
            <w:r>
              <w:rPr>
                <w:b/>
                <w:bCs/>
                <w:szCs w:val="21"/>
              </w:rPr>
              <w:t>)</w:t>
            </w:r>
          </w:p>
        </w:tc>
        <w:tc>
          <w:tcPr>
            <w:tcW w:w="1715" w:type="dxa"/>
            <w:shd w:val="clear" w:color="auto" w:fill="auto"/>
            <w:tcMar>
              <w:top w:w="0" w:type="dxa"/>
              <w:left w:w="108" w:type="dxa"/>
              <w:bottom w:w="0" w:type="dxa"/>
              <w:right w:w="108" w:type="dxa"/>
            </w:tcMar>
            <w:vAlign w:val="center"/>
          </w:tcPr>
          <w:p>
            <w:pPr>
              <w:jc w:val="center"/>
              <w:rPr>
                <w:b/>
                <w:szCs w:val="21"/>
              </w:rPr>
            </w:pPr>
            <w:r>
              <w:rPr>
                <w:rFonts w:hint="eastAsia"/>
                <w:b/>
                <w:bCs/>
                <w:szCs w:val="21"/>
              </w:rPr>
              <w:t>建设单位</w:t>
            </w:r>
          </w:p>
        </w:tc>
        <w:tc>
          <w:tcPr>
            <w:tcW w:w="1715" w:type="dxa"/>
            <w:shd w:val="clear" w:color="auto" w:fill="auto"/>
            <w:tcMar>
              <w:top w:w="0" w:type="dxa"/>
              <w:left w:w="108" w:type="dxa"/>
              <w:bottom w:w="0" w:type="dxa"/>
              <w:right w:w="108" w:type="dxa"/>
            </w:tcMar>
            <w:vAlign w:val="center"/>
          </w:tcPr>
          <w:p>
            <w:pPr>
              <w:jc w:val="center"/>
              <w:rPr>
                <w:b/>
                <w:szCs w:val="21"/>
              </w:rPr>
            </w:pPr>
            <w:r>
              <w:rPr>
                <w:rFonts w:hint="eastAsia"/>
                <w:b/>
                <w:szCs w:val="21"/>
              </w:rPr>
              <w:t>验收时间</w:t>
            </w:r>
          </w:p>
        </w:tc>
        <w:tc>
          <w:tcPr>
            <w:tcW w:w="1715" w:type="dxa"/>
            <w:vAlign w:val="center"/>
          </w:tcPr>
          <w:p>
            <w:pPr>
              <w:jc w:val="center"/>
              <w:rPr>
                <w:b/>
                <w:bCs/>
                <w:szCs w:val="21"/>
              </w:rPr>
            </w:pPr>
            <w:r>
              <w:rPr>
                <w:rFonts w:hint="eastAsia"/>
                <w:b/>
                <w:bCs/>
                <w:szCs w:val="21"/>
              </w:rPr>
              <w:t>验收单位</w:t>
            </w:r>
          </w:p>
        </w:tc>
        <w:tc>
          <w:tcPr>
            <w:tcW w:w="1715" w:type="dxa"/>
            <w:vAlign w:val="center"/>
          </w:tcPr>
          <w:p>
            <w:pPr>
              <w:jc w:val="center"/>
              <w:rPr>
                <w:b/>
                <w:bCs/>
                <w:szCs w:val="21"/>
              </w:rPr>
            </w:pPr>
            <w:r>
              <w:rPr>
                <w:rFonts w:hint="eastAsia"/>
                <w:b/>
                <w:bCs/>
                <w:szCs w:val="21"/>
              </w:rPr>
              <w:t>补贴标准</w:t>
            </w:r>
          </w:p>
        </w:tc>
        <w:tc>
          <w:tcPr>
            <w:tcW w:w="1716" w:type="dxa"/>
            <w:vAlign w:val="center"/>
          </w:tcPr>
          <w:p>
            <w:pPr>
              <w:jc w:val="center"/>
              <w:rPr>
                <w:b/>
                <w:szCs w:val="21"/>
              </w:rPr>
            </w:pPr>
            <w:r>
              <w:rPr>
                <w:rFonts w:hint="eastAsia"/>
                <w:b/>
                <w:bCs/>
                <w:szCs w:val="21"/>
              </w:rPr>
              <w:t>申请地方</w:t>
            </w:r>
            <w:r>
              <w:rPr>
                <w:b/>
                <w:bCs/>
                <w:szCs w:val="21"/>
              </w:rPr>
              <w:t>财政补贴</w:t>
            </w:r>
            <w:r>
              <w:rPr>
                <w:rFonts w:hint="eastAsia"/>
                <w:b/>
                <w:bCs/>
                <w:szCs w:val="21"/>
              </w:rPr>
              <w:t>金额</w:t>
            </w:r>
            <w:r>
              <w:rPr>
                <w:b/>
                <w:bCs/>
                <w:szCs w:val="21"/>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32" w:hRule="atLeast"/>
          <w:jc w:val="center"/>
        </w:trPr>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vAlign w:val="center"/>
          </w:tcPr>
          <w:p>
            <w:pPr>
              <w:jc w:val="center"/>
              <w:rPr>
                <w:szCs w:val="21"/>
              </w:rPr>
            </w:pPr>
          </w:p>
        </w:tc>
        <w:tc>
          <w:tcPr>
            <w:tcW w:w="1715" w:type="dxa"/>
            <w:vAlign w:val="center"/>
          </w:tcPr>
          <w:p>
            <w:pPr>
              <w:jc w:val="center"/>
              <w:rPr>
                <w:szCs w:val="21"/>
              </w:rPr>
            </w:pPr>
          </w:p>
        </w:tc>
        <w:tc>
          <w:tcPr>
            <w:tcW w:w="1716" w:type="dxa"/>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32" w:hRule="atLeast"/>
          <w:jc w:val="center"/>
        </w:trPr>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vAlign w:val="center"/>
          </w:tcPr>
          <w:p>
            <w:pPr>
              <w:jc w:val="center"/>
              <w:rPr>
                <w:szCs w:val="21"/>
              </w:rPr>
            </w:pPr>
          </w:p>
        </w:tc>
        <w:tc>
          <w:tcPr>
            <w:tcW w:w="1715" w:type="dxa"/>
            <w:vAlign w:val="center"/>
          </w:tcPr>
          <w:p>
            <w:pPr>
              <w:jc w:val="center"/>
              <w:rPr>
                <w:szCs w:val="21"/>
              </w:rPr>
            </w:pPr>
          </w:p>
        </w:tc>
        <w:tc>
          <w:tcPr>
            <w:tcW w:w="1716" w:type="dxa"/>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32" w:hRule="atLeast"/>
          <w:jc w:val="center"/>
        </w:trPr>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vAlign w:val="center"/>
          </w:tcPr>
          <w:p>
            <w:pPr>
              <w:jc w:val="center"/>
              <w:rPr>
                <w:szCs w:val="21"/>
              </w:rPr>
            </w:pPr>
          </w:p>
        </w:tc>
        <w:tc>
          <w:tcPr>
            <w:tcW w:w="1715" w:type="dxa"/>
            <w:vAlign w:val="center"/>
          </w:tcPr>
          <w:p>
            <w:pPr>
              <w:jc w:val="center"/>
              <w:rPr>
                <w:szCs w:val="21"/>
              </w:rPr>
            </w:pPr>
          </w:p>
        </w:tc>
        <w:tc>
          <w:tcPr>
            <w:tcW w:w="1716" w:type="dxa"/>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32" w:hRule="atLeast"/>
          <w:jc w:val="center"/>
        </w:trPr>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vAlign w:val="center"/>
          </w:tcPr>
          <w:p>
            <w:pPr>
              <w:jc w:val="center"/>
              <w:rPr>
                <w:szCs w:val="21"/>
              </w:rPr>
            </w:pPr>
          </w:p>
        </w:tc>
        <w:tc>
          <w:tcPr>
            <w:tcW w:w="1715" w:type="dxa"/>
            <w:vAlign w:val="center"/>
          </w:tcPr>
          <w:p>
            <w:pPr>
              <w:jc w:val="center"/>
              <w:rPr>
                <w:szCs w:val="21"/>
              </w:rPr>
            </w:pPr>
          </w:p>
        </w:tc>
        <w:tc>
          <w:tcPr>
            <w:tcW w:w="1716" w:type="dxa"/>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32" w:hRule="atLeast"/>
          <w:jc w:val="center"/>
        </w:trPr>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shd w:val="clear" w:color="auto" w:fill="auto"/>
            <w:tcMar>
              <w:top w:w="0" w:type="dxa"/>
              <w:left w:w="108" w:type="dxa"/>
              <w:bottom w:w="0" w:type="dxa"/>
              <w:right w:w="108" w:type="dxa"/>
            </w:tcMar>
            <w:vAlign w:val="center"/>
          </w:tcPr>
          <w:p>
            <w:pPr>
              <w:jc w:val="center"/>
              <w:rPr>
                <w:szCs w:val="21"/>
              </w:rPr>
            </w:pPr>
          </w:p>
        </w:tc>
        <w:tc>
          <w:tcPr>
            <w:tcW w:w="1715" w:type="dxa"/>
            <w:vAlign w:val="center"/>
          </w:tcPr>
          <w:p>
            <w:pPr>
              <w:jc w:val="center"/>
              <w:rPr>
                <w:szCs w:val="21"/>
              </w:rPr>
            </w:pPr>
          </w:p>
        </w:tc>
        <w:tc>
          <w:tcPr>
            <w:tcW w:w="1715" w:type="dxa"/>
            <w:vAlign w:val="center"/>
          </w:tcPr>
          <w:p>
            <w:pPr>
              <w:jc w:val="center"/>
              <w:rPr>
                <w:szCs w:val="21"/>
              </w:rPr>
            </w:pPr>
          </w:p>
        </w:tc>
        <w:tc>
          <w:tcPr>
            <w:tcW w:w="1716" w:type="dxa"/>
            <w:vAlign w:val="center"/>
          </w:tcPr>
          <w:p>
            <w:pPr>
              <w:jc w:val="center"/>
              <w:rPr>
                <w:szCs w:val="21"/>
              </w:rPr>
            </w:pPr>
          </w:p>
        </w:tc>
      </w:tr>
    </w:tbl>
    <w:p>
      <w:pPr>
        <w:rPr>
          <w:rFonts w:eastAsia="黑体"/>
          <w:b/>
          <w:sz w:val="32"/>
          <w:szCs w:val="32"/>
        </w:rPr>
      </w:pPr>
      <w:r>
        <w:rPr>
          <w:rFonts w:hint="eastAsia"/>
          <w:szCs w:val="21"/>
        </w:rPr>
        <w:t>备注：设施类型包括：直流充电桩</w:t>
      </w:r>
      <w:r>
        <w:rPr>
          <w:szCs w:val="21"/>
        </w:rPr>
        <w:t>(</w:t>
      </w:r>
      <w:r>
        <w:rPr>
          <w:rFonts w:hint="eastAsia"/>
          <w:szCs w:val="21"/>
        </w:rPr>
        <w:t>机</w:t>
      </w:r>
      <w:r>
        <w:rPr>
          <w:szCs w:val="21"/>
        </w:rPr>
        <w:t>)</w:t>
      </w:r>
      <w:r>
        <w:rPr>
          <w:rFonts w:hint="eastAsia"/>
          <w:szCs w:val="21"/>
        </w:rPr>
        <w:t>、交流充电桩</w:t>
      </w:r>
      <w:r>
        <w:rPr>
          <w:szCs w:val="21"/>
        </w:rPr>
        <w:t>(</w:t>
      </w:r>
      <w:r>
        <w:rPr>
          <w:rFonts w:hint="eastAsia"/>
          <w:szCs w:val="21"/>
        </w:rPr>
        <w:t>机</w:t>
      </w:r>
      <w:r>
        <w:rPr>
          <w:szCs w:val="21"/>
        </w:rPr>
        <w:t>)</w:t>
      </w:r>
      <w:r>
        <w:rPr>
          <w:rFonts w:hint="eastAsia"/>
          <w:szCs w:val="21"/>
        </w:rPr>
        <w:t>。</w:t>
      </w:r>
    </w:p>
    <w:sectPr>
      <w:pgSz w:w="16838" w:h="11906" w:orient="landscape"/>
      <w:pgMar w:top="1021" w:right="1021" w:bottom="1021" w:left="1021" w:header="851" w:footer="992" w:gutter="0"/>
      <w:cols w:space="425"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revisionView w:markup="0"/>
  <w:trackRevisions w:val="1"/>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74F2BDBF-EB5C-41FC-8C16-C7E261C00DAC}" w:val="D1NOflk5YSMCQPX=Ry7H8Z3Ae+udtBb/0jaTm9oqLKzs6UiJxr2v4GpgFnWVwIEch"/>
    <w:docVar w:name="DocumentID" w:val="{2167D566-7452-4A99-AF81-0D39FF323431}"/>
    <w:docVar w:name="FlCopySend" w:val="  "/>
    <w:docVar w:name="FlELevel" w:val="紧急"/>
    <w:docVar w:name="FlFileSerial" w:val="228"/>
    <w:docVar w:name="FlFileSerial_T" w:val="  "/>
    <w:docVar w:name="FlFileYear" w:val="2018"/>
    <w:docVar w:name="FlGkfs" w:val="不公开"/>
    <w:docVar w:name="FlJG" w:val="杨景豪"/>
    <w:docVar w:name="FlKeyWord" w:val=" △ "/>
    <w:docVar w:name="FlMainSend" w:val="市人民政府"/>
    <w:docVar w:name="FlPrintTime" w:val="2018年4月16日印发"/>
    <w:docVar w:name="FlSendTime" w:val="二〇一八年   月   日"/>
    <w:docVar w:name="FlSendTime_1" w:val="2018年  月  日"/>
    <w:docVar w:name="FlSendTime_Num" w:val="2018年  月  日"/>
    <w:docVar w:name="FlSignOrg" w:val="产业协调和能源科"/>
    <w:docVar w:name="FlSignOrg_Dept" w:val="  "/>
    <w:docVar w:name="FlSubject" w:val="关于明确我市新能源汽车推广应用补贴有关事项的请示"/>
    <w:docVar w:name="LeaderSign" w:val="罗斌"/>
  </w:docVars>
  <w:rsids>
    <w:rsidRoot w:val="00172A27"/>
    <w:rsid w:val="00000AEC"/>
    <w:rsid w:val="000023B9"/>
    <w:rsid w:val="00014560"/>
    <w:rsid w:val="000157FC"/>
    <w:rsid w:val="000167EE"/>
    <w:rsid w:val="00024787"/>
    <w:rsid w:val="00024D64"/>
    <w:rsid w:val="000250D3"/>
    <w:rsid w:val="000258DC"/>
    <w:rsid w:val="00031B71"/>
    <w:rsid w:val="00041856"/>
    <w:rsid w:val="00043CAC"/>
    <w:rsid w:val="00047EAC"/>
    <w:rsid w:val="00052B18"/>
    <w:rsid w:val="00060D9F"/>
    <w:rsid w:val="00063D4A"/>
    <w:rsid w:val="000661BA"/>
    <w:rsid w:val="000674F6"/>
    <w:rsid w:val="00073EC4"/>
    <w:rsid w:val="00076D29"/>
    <w:rsid w:val="00077AFD"/>
    <w:rsid w:val="00081BF4"/>
    <w:rsid w:val="00086099"/>
    <w:rsid w:val="00086455"/>
    <w:rsid w:val="0008661E"/>
    <w:rsid w:val="0009057D"/>
    <w:rsid w:val="00093A17"/>
    <w:rsid w:val="00093C9F"/>
    <w:rsid w:val="000A4412"/>
    <w:rsid w:val="000A5875"/>
    <w:rsid w:val="000B01A1"/>
    <w:rsid w:val="000B04F4"/>
    <w:rsid w:val="000B72AC"/>
    <w:rsid w:val="000C4ACA"/>
    <w:rsid w:val="000C73C0"/>
    <w:rsid w:val="000E21C2"/>
    <w:rsid w:val="000F2BFA"/>
    <w:rsid w:val="000F336B"/>
    <w:rsid w:val="000F4B8A"/>
    <w:rsid w:val="00103034"/>
    <w:rsid w:val="00103F14"/>
    <w:rsid w:val="0011360F"/>
    <w:rsid w:val="00120A7E"/>
    <w:rsid w:val="00121618"/>
    <w:rsid w:val="001331DA"/>
    <w:rsid w:val="00140B2F"/>
    <w:rsid w:val="001435CF"/>
    <w:rsid w:val="00152243"/>
    <w:rsid w:val="001567FB"/>
    <w:rsid w:val="0015792D"/>
    <w:rsid w:val="0017169D"/>
    <w:rsid w:val="00172A27"/>
    <w:rsid w:val="001741D9"/>
    <w:rsid w:val="0018040B"/>
    <w:rsid w:val="00180602"/>
    <w:rsid w:val="00184B6E"/>
    <w:rsid w:val="00185E73"/>
    <w:rsid w:val="001911EF"/>
    <w:rsid w:val="001A0BBA"/>
    <w:rsid w:val="001A1E65"/>
    <w:rsid w:val="001A2784"/>
    <w:rsid w:val="001A4326"/>
    <w:rsid w:val="001B50D1"/>
    <w:rsid w:val="001B7114"/>
    <w:rsid w:val="001C1669"/>
    <w:rsid w:val="001D0829"/>
    <w:rsid w:val="001F3B64"/>
    <w:rsid w:val="001F75D3"/>
    <w:rsid w:val="00205229"/>
    <w:rsid w:val="002107A5"/>
    <w:rsid w:val="00210BD4"/>
    <w:rsid w:val="0021141C"/>
    <w:rsid w:val="00213266"/>
    <w:rsid w:val="002141E2"/>
    <w:rsid w:val="00215CA4"/>
    <w:rsid w:val="00215DB2"/>
    <w:rsid w:val="002206B1"/>
    <w:rsid w:val="002229B5"/>
    <w:rsid w:val="00232742"/>
    <w:rsid w:val="002345A3"/>
    <w:rsid w:val="002406E0"/>
    <w:rsid w:val="002508F0"/>
    <w:rsid w:val="00252577"/>
    <w:rsid w:val="002570A3"/>
    <w:rsid w:val="002608F0"/>
    <w:rsid w:val="00262D95"/>
    <w:rsid w:val="002748E7"/>
    <w:rsid w:val="00294019"/>
    <w:rsid w:val="002964A0"/>
    <w:rsid w:val="002B37B1"/>
    <w:rsid w:val="002C042B"/>
    <w:rsid w:val="002C23AE"/>
    <w:rsid w:val="002C2C9D"/>
    <w:rsid w:val="002C4FE9"/>
    <w:rsid w:val="002C5A14"/>
    <w:rsid w:val="002D73D1"/>
    <w:rsid w:val="002E026F"/>
    <w:rsid w:val="002F1F97"/>
    <w:rsid w:val="00300991"/>
    <w:rsid w:val="00301CE6"/>
    <w:rsid w:val="003022A9"/>
    <w:rsid w:val="0030234F"/>
    <w:rsid w:val="00303C58"/>
    <w:rsid w:val="00306953"/>
    <w:rsid w:val="00324CBF"/>
    <w:rsid w:val="00331F3B"/>
    <w:rsid w:val="00335A3F"/>
    <w:rsid w:val="003362BE"/>
    <w:rsid w:val="00336E20"/>
    <w:rsid w:val="00342291"/>
    <w:rsid w:val="00344A7C"/>
    <w:rsid w:val="00346E5A"/>
    <w:rsid w:val="00355613"/>
    <w:rsid w:val="0036437B"/>
    <w:rsid w:val="00371F86"/>
    <w:rsid w:val="00376DA5"/>
    <w:rsid w:val="00380AD2"/>
    <w:rsid w:val="003905C5"/>
    <w:rsid w:val="00390604"/>
    <w:rsid w:val="003911EC"/>
    <w:rsid w:val="003946F8"/>
    <w:rsid w:val="00396450"/>
    <w:rsid w:val="003B0733"/>
    <w:rsid w:val="003B0AA6"/>
    <w:rsid w:val="003B58C8"/>
    <w:rsid w:val="003B7757"/>
    <w:rsid w:val="003C4EB2"/>
    <w:rsid w:val="003D12D4"/>
    <w:rsid w:val="003D1534"/>
    <w:rsid w:val="003E0311"/>
    <w:rsid w:val="003E60A5"/>
    <w:rsid w:val="003E75A3"/>
    <w:rsid w:val="003F37A9"/>
    <w:rsid w:val="003F6EC4"/>
    <w:rsid w:val="004222E7"/>
    <w:rsid w:val="00433C06"/>
    <w:rsid w:val="00436F8A"/>
    <w:rsid w:val="00440281"/>
    <w:rsid w:val="004435A6"/>
    <w:rsid w:val="00443FC5"/>
    <w:rsid w:val="00446F02"/>
    <w:rsid w:val="00457830"/>
    <w:rsid w:val="00464D79"/>
    <w:rsid w:val="0047412F"/>
    <w:rsid w:val="00480B93"/>
    <w:rsid w:val="00481392"/>
    <w:rsid w:val="00486568"/>
    <w:rsid w:val="00493AB7"/>
    <w:rsid w:val="00495B6D"/>
    <w:rsid w:val="004B4EC5"/>
    <w:rsid w:val="004C1B0A"/>
    <w:rsid w:val="004C5B72"/>
    <w:rsid w:val="004C7479"/>
    <w:rsid w:val="004D2468"/>
    <w:rsid w:val="004D31E2"/>
    <w:rsid w:val="004D3D15"/>
    <w:rsid w:val="004D5002"/>
    <w:rsid w:val="004E5F07"/>
    <w:rsid w:val="004E6749"/>
    <w:rsid w:val="00505AB0"/>
    <w:rsid w:val="0050754B"/>
    <w:rsid w:val="00512BAD"/>
    <w:rsid w:val="0052018D"/>
    <w:rsid w:val="00522132"/>
    <w:rsid w:val="00526332"/>
    <w:rsid w:val="00526B3B"/>
    <w:rsid w:val="00534F91"/>
    <w:rsid w:val="00535636"/>
    <w:rsid w:val="00541F1D"/>
    <w:rsid w:val="00570C35"/>
    <w:rsid w:val="0057291B"/>
    <w:rsid w:val="00572ED0"/>
    <w:rsid w:val="00582620"/>
    <w:rsid w:val="00590427"/>
    <w:rsid w:val="0059465E"/>
    <w:rsid w:val="005A2A61"/>
    <w:rsid w:val="005A34B2"/>
    <w:rsid w:val="005B0670"/>
    <w:rsid w:val="005D0092"/>
    <w:rsid w:val="005D6CCF"/>
    <w:rsid w:val="005E341D"/>
    <w:rsid w:val="005E6763"/>
    <w:rsid w:val="006011ED"/>
    <w:rsid w:val="00603BC7"/>
    <w:rsid w:val="00604A07"/>
    <w:rsid w:val="00611DCC"/>
    <w:rsid w:val="00614B79"/>
    <w:rsid w:val="00616173"/>
    <w:rsid w:val="00616280"/>
    <w:rsid w:val="006273E1"/>
    <w:rsid w:val="00631693"/>
    <w:rsid w:val="006362CF"/>
    <w:rsid w:val="00636CC6"/>
    <w:rsid w:val="00646C8E"/>
    <w:rsid w:val="00647901"/>
    <w:rsid w:val="00647D73"/>
    <w:rsid w:val="00651A5A"/>
    <w:rsid w:val="00670AE0"/>
    <w:rsid w:val="0067672A"/>
    <w:rsid w:val="00677149"/>
    <w:rsid w:val="0068445E"/>
    <w:rsid w:val="006912C3"/>
    <w:rsid w:val="0069209F"/>
    <w:rsid w:val="00692E0C"/>
    <w:rsid w:val="00697B45"/>
    <w:rsid w:val="006A0CB9"/>
    <w:rsid w:val="006A0F00"/>
    <w:rsid w:val="006A2EDA"/>
    <w:rsid w:val="006C17C5"/>
    <w:rsid w:val="006C2AEA"/>
    <w:rsid w:val="006C2EB2"/>
    <w:rsid w:val="006C3DEF"/>
    <w:rsid w:val="006D6A38"/>
    <w:rsid w:val="006D6C52"/>
    <w:rsid w:val="006D7879"/>
    <w:rsid w:val="006E1A3B"/>
    <w:rsid w:val="006E4FED"/>
    <w:rsid w:val="006E7099"/>
    <w:rsid w:val="006F1434"/>
    <w:rsid w:val="006F7580"/>
    <w:rsid w:val="00700C78"/>
    <w:rsid w:val="00701191"/>
    <w:rsid w:val="00705EF4"/>
    <w:rsid w:val="0071249B"/>
    <w:rsid w:val="00727622"/>
    <w:rsid w:val="007364A1"/>
    <w:rsid w:val="00742F01"/>
    <w:rsid w:val="00746152"/>
    <w:rsid w:val="007609B4"/>
    <w:rsid w:val="00773167"/>
    <w:rsid w:val="007745A9"/>
    <w:rsid w:val="007A6687"/>
    <w:rsid w:val="007B1FC8"/>
    <w:rsid w:val="007B7604"/>
    <w:rsid w:val="007C2F59"/>
    <w:rsid w:val="007C63EF"/>
    <w:rsid w:val="007D1B0A"/>
    <w:rsid w:val="007E44E5"/>
    <w:rsid w:val="007E6800"/>
    <w:rsid w:val="007F2009"/>
    <w:rsid w:val="007F3241"/>
    <w:rsid w:val="007F3667"/>
    <w:rsid w:val="008035EA"/>
    <w:rsid w:val="008074DC"/>
    <w:rsid w:val="00813B0F"/>
    <w:rsid w:val="00835CDC"/>
    <w:rsid w:val="008629AF"/>
    <w:rsid w:val="00865E9A"/>
    <w:rsid w:val="008852CB"/>
    <w:rsid w:val="00896873"/>
    <w:rsid w:val="008A02FA"/>
    <w:rsid w:val="008B1AAE"/>
    <w:rsid w:val="008B6011"/>
    <w:rsid w:val="008B712F"/>
    <w:rsid w:val="008D01C8"/>
    <w:rsid w:val="008D2892"/>
    <w:rsid w:val="008D32F6"/>
    <w:rsid w:val="008D6F41"/>
    <w:rsid w:val="008E252E"/>
    <w:rsid w:val="008E455D"/>
    <w:rsid w:val="008E56C8"/>
    <w:rsid w:val="008F663A"/>
    <w:rsid w:val="009012E1"/>
    <w:rsid w:val="00906FF2"/>
    <w:rsid w:val="00911E24"/>
    <w:rsid w:val="00932777"/>
    <w:rsid w:val="00942627"/>
    <w:rsid w:val="00946FD6"/>
    <w:rsid w:val="00970149"/>
    <w:rsid w:val="009731FD"/>
    <w:rsid w:val="0098080C"/>
    <w:rsid w:val="009835B6"/>
    <w:rsid w:val="00986014"/>
    <w:rsid w:val="00986156"/>
    <w:rsid w:val="009906CA"/>
    <w:rsid w:val="00993528"/>
    <w:rsid w:val="0099541B"/>
    <w:rsid w:val="00996906"/>
    <w:rsid w:val="009A11C7"/>
    <w:rsid w:val="009B0886"/>
    <w:rsid w:val="009C342C"/>
    <w:rsid w:val="009C7EFD"/>
    <w:rsid w:val="009D450D"/>
    <w:rsid w:val="009F50C2"/>
    <w:rsid w:val="00A005CF"/>
    <w:rsid w:val="00A12794"/>
    <w:rsid w:val="00A14BB9"/>
    <w:rsid w:val="00A15F8D"/>
    <w:rsid w:val="00A22FB0"/>
    <w:rsid w:val="00A23D03"/>
    <w:rsid w:val="00A422C8"/>
    <w:rsid w:val="00A47AD3"/>
    <w:rsid w:val="00A56C74"/>
    <w:rsid w:val="00A600CB"/>
    <w:rsid w:val="00A66371"/>
    <w:rsid w:val="00A71811"/>
    <w:rsid w:val="00A7422C"/>
    <w:rsid w:val="00A80A3F"/>
    <w:rsid w:val="00A80B99"/>
    <w:rsid w:val="00A81910"/>
    <w:rsid w:val="00A83546"/>
    <w:rsid w:val="00A83978"/>
    <w:rsid w:val="00A849C2"/>
    <w:rsid w:val="00A87076"/>
    <w:rsid w:val="00A92E8C"/>
    <w:rsid w:val="00A93A97"/>
    <w:rsid w:val="00A96403"/>
    <w:rsid w:val="00AB0945"/>
    <w:rsid w:val="00AD3459"/>
    <w:rsid w:val="00AD5119"/>
    <w:rsid w:val="00AE7159"/>
    <w:rsid w:val="00AF5B14"/>
    <w:rsid w:val="00B03EB9"/>
    <w:rsid w:val="00B15B73"/>
    <w:rsid w:val="00B16273"/>
    <w:rsid w:val="00B17017"/>
    <w:rsid w:val="00B20EFB"/>
    <w:rsid w:val="00B26FE8"/>
    <w:rsid w:val="00B310D6"/>
    <w:rsid w:val="00B363CA"/>
    <w:rsid w:val="00B402A8"/>
    <w:rsid w:val="00B45BCE"/>
    <w:rsid w:val="00B46FE6"/>
    <w:rsid w:val="00B50AEE"/>
    <w:rsid w:val="00B511DB"/>
    <w:rsid w:val="00B54326"/>
    <w:rsid w:val="00B57D80"/>
    <w:rsid w:val="00B62A57"/>
    <w:rsid w:val="00B75130"/>
    <w:rsid w:val="00B83A68"/>
    <w:rsid w:val="00B8434D"/>
    <w:rsid w:val="00B912AA"/>
    <w:rsid w:val="00B94E68"/>
    <w:rsid w:val="00B968E2"/>
    <w:rsid w:val="00BA4223"/>
    <w:rsid w:val="00BB17A4"/>
    <w:rsid w:val="00BB4E36"/>
    <w:rsid w:val="00BB767F"/>
    <w:rsid w:val="00BB7D8B"/>
    <w:rsid w:val="00BC68C6"/>
    <w:rsid w:val="00BD2837"/>
    <w:rsid w:val="00BE6CE0"/>
    <w:rsid w:val="00BF75E9"/>
    <w:rsid w:val="00C00B1D"/>
    <w:rsid w:val="00C03371"/>
    <w:rsid w:val="00C20A64"/>
    <w:rsid w:val="00C22D37"/>
    <w:rsid w:val="00C31D42"/>
    <w:rsid w:val="00C365C8"/>
    <w:rsid w:val="00C569AE"/>
    <w:rsid w:val="00C574E2"/>
    <w:rsid w:val="00C60DBA"/>
    <w:rsid w:val="00C64387"/>
    <w:rsid w:val="00C650EB"/>
    <w:rsid w:val="00C65F60"/>
    <w:rsid w:val="00C72D15"/>
    <w:rsid w:val="00C76975"/>
    <w:rsid w:val="00C76BA6"/>
    <w:rsid w:val="00C84E14"/>
    <w:rsid w:val="00C90381"/>
    <w:rsid w:val="00C913AC"/>
    <w:rsid w:val="00C954B2"/>
    <w:rsid w:val="00CA1F31"/>
    <w:rsid w:val="00CB0000"/>
    <w:rsid w:val="00CB1C48"/>
    <w:rsid w:val="00CB465E"/>
    <w:rsid w:val="00CD3566"/>
    <w:rsid w:val="00CD7C47"/>
    <w:rsid w:val="00CE10A8"/>
    <w:rsid w:val="00CF1F76"/>
    <w:rsid w:val="00CF5AC0"/>
    <w:rsid w:val="00D0130F"/>
    <w:rsid w:val="00D046E8"/>
    <w:rsid w:val="00D212DC"/>
    <w:rsid w:val="00D26C12"/>
    <w:rsid w:val="00D274F3"/>
    <w:rsid w:val="00D33A4D"/>
    <w:rsid w:val="00D43446"/>
    <w:rsid w:val="00D434E7"/>
    <w:rsid w:val="00D44A75"/>
    <w:rsid w:val="00D464CE"/>
    <w:rsid w:val="00D50F83"/>
    <w:rsid w:val="00D55815"/>
    <w:rsid w:val="00D6153F"/>
    <w:rsid w:val="00D630D5"/>
    <w:rsid w:val="00D64B44"/>
    <w:rsid w:val="00D665AE"/>
    <w:rsid w:val="00D66816"/>
    <w:rsid w:val="00D7537D"/>
    <w:rsid w:val="00D7790F"/>
    <w:rsid w:val="00D92376"/>
    <w:rsid w:val="00D92ED9"/>
    <w:rsid w:val="00DA2381"/>
    <w:rsid w:val="00DA2768"/>
    <w:rsid w:val="00DA5198"/>
    <w:rsid w:val="00DA6EA8"/>
    <w:rsid w:val="00DB503D"/>
    <w:rsid w:val="00DC22E7"/>
    <w:rsid w:val="00DD0C64"/>
    <w:rsid w:val="00DD2FA2"/>
    <w:rsid w:val="00DD405E"/>
    <w:rsid w:val="00DE51D9"/>
    <w:rsid w:val="00DE7443"/>
    <w:rsid w:val="00DE7B6F"/>
    <w:rsid w:val="00DF35B1"/>
    <w:rsid w:val="00DF57BF"/>
    <w:rsid w:val="00DF7A97"/>
    <w:rsid w:val="00E033C8"/>
    <w:rsid w:val="00E12B94"/>
    <w:rsid w:val="00E154F5"/>
    <w:rsid w:val="00E205A4"/>
    <w:rsid w:val="00E21C41"/>
    <w:rsid w:val="00E2448C"/>
    <w:rsid w:val="00E26438"/>
    <w:rsid w:val="00E5170E"/>
    <w:rsid w:val="00E56117"/>
    <w:rsid w:val="00E62839"/>
    <w:rsid w:val="00E75ED6"/>
    <w:rsid w:val="00E92AD9"/>
    <w:rsid w:val="00E93EB9"/>
    <w:rsid w:val="00EA4623"/>
    <w:rsid w:val="00EC0908"/>
    <w:rsid w:val="00EC0A19"/>
    <w:rsid w:val="00EC31ED"/>
    <w:rsid w:val="00EC43B2"/>
    <w:rsid w:val="00ED5684"/>
    <w:rsid w:val="00ED6A4E"/>
    <w:rsid w:val="00EE15BE"/>
    <w:rsid w:val="00EF2501"/>
    <w:rsid w:val="00F00903"/>
    <w:rsid w:val="00F020D5"/>
    <w:rsid w:val="00F03E3A"/>
    <w:rsid w:val="00F15683"/>
    <w:rsid w:val="00F23915"/>
    <w:rsid w:val="00F25590"/>
    <w:rsid w:val="00F322ED"/>
    <w:rsid w:val="00F36131"/>
    <w:rsid w:val="00F43263"/>
    <w:rsid w:val="00F53F8B"/>
    <w:rsid w:val="00F634FC"/>
    <w:rsid w:val="00F65753"/>
    <w:rsid w:val="00F66564"/>
    <w:rsid w:val="00F70AB3"/>
    <w:rsid w:val="00F7538E"/>
    <w:rsid w:val="00F8031B"/>
    <w:rsid w:val="00F9386F"/>
    <w:rsid w:val="00F93AA4"/>
    <w:rsid w:val="00F9511E"/>
    <w:rsid w:val="00F956AC"/>
    <w:rsid w:val="00FA283E"/>
    <w:rsid w:val="00FA5220"/>
    <w:rsid w:val="00FD0AC4"/>
    <w:rsid w:val="00FD13B4"/>
    <w:rsid w:val="00FE1548"/>
    <w:rsid w:val="00FE4528"/>
    <w:rsid w:val="00FE6A4B"/>
    <w:rsid w:val="00FF2869"/>
    <w:rsid w:val="00FF3812"/>
    <w:rsid w:val="0280495E"/>
    <w:rsid w:val="05937F95"/>
    <w:rsid w:val="11553675"/>
    <w:rsid w:val="11BB3280"/>
    <w:rsid w:val="1AF04E23"/>
    <w:rsid w:val="1B0A2C26"/>
    <w:rsid w:val="1C330EBE"/>
    <w:rsid w:val="2DFA5C02"/>
    <w:rsid w:val="2F540909"/>
    <w:rsid w:val="32956AF4"/>
    <w:rsid w:val="37C60065"/>
    <w:rsid w:val="3BD56CF6"/>
    <w:rsid w:val="3CCB7F5F"/>
    <w:rsid w:val="450364D8"/>
    <w:rsid w:val="620B0341"/>
    <w:rsid w:val="71D94CDE"/>
    <w:rsid w:val="74E57B4B"/>
    <w:rsid w:val="751B4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340" w:after="330"/>
      <w:outlineLvl w:val="0"/>
    </w:pPr>
    <w:rPr>
      <w:rFonts w:ascii="华康简标题宋" w:eastAsia="华康简标题宋"/>
      <w:b/>
      <w:kern w:val="44"/>
      <w:sz w:val="42"/>
    </w:rPr>
  </w:style>
  <w:style w:type="paragraph" w:styleId="3">
    <w:name w:val="heading 3"/>
    <w:basedOn w:val="1"/>
    <w:next w:val="1"/>
    <w:qFormat/>
    <w:uiPriority w:val="0"/>
    <w:pPr>
      <w:keepNext/>
      <w:keepLines/>
      <w:suppressLineNumbers/>
      <w:adjustRightInd w:val="0"/>
      <w:spacing w:before="920" w:after="260" w:line="540" w:lineRule="exact"/>
      <w:jc w:val="center"/>
      <w:textAlignment w:val="baseline"/>
      <w:outlineLvl w:val="2"/>
    </w:pPr>
    <w:rPr>
      <w:rFonts w:ascii="宋体"/>
      <w:b/>
      <w:color w:val="000000"/>
      <w:kern w:val="0"/>
      <w:sz w:val="36"/>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qFormat/>
    <w:uiPriority w:val="0"/>
    <w:rPr>
      <w:rFonts w:eastAsia="华康简标题宋"/>
      <w:color w:val="000000"/>
      <w:sz w:val="44"/>
    </w:rPr>
  </w:style>
  <w:style w:type="paragraph" w:styleId="6">
    <w:name w:val="Body Text Indent"/>
    <w:basedOn w:val="1"/>
    <w:qFormat/>
    <w:uiPriority w:val="0"/>
    <w:pPr>
      <w:spacing w:line="360" w:lineRule="auto"/>
      <w:ind w:firstLine="567"/>
    </w:pPr>
    <w:rPr>
      <w:rFonts w:eastAsia="仿宋_GB2312"/>
      <w:spacing w:val="-6"/>
      <w:sz w:val="30"/>
    </w:rPr>
  </w:style>
  <w:style w:type="paragraph" w:styleId="7">
    <w:name w:val="Plain Text"/>
    <w:basedOn w:val="1"/>
    <w:qFormat/>
    <w:uiPriority w:val="0"/>
    <w:rPr>
      <w:rFonts w:ascii="宋体" w:hAnsi="Courier New"/>
    </w:rPr>
  </w:style>
  <w:style w:type="paragraph" w:styleId="8">
    <w:name w:val="Date"/>
    <w:basedOn w:val="1"/>
    <w:next w:val="1"/>
    <w:qFormat/>
    <w:uiPriority w:val="0"/>
    <w:rPr>
      <w:rFonts w:ascii="仿宋_GB2312" w:eastAsia="仿宋_GB2312"/>
      <w:sz w:val="28"/>
    </w:rPr>
  </w:style>
  <w:style w:type="paragraph" w:styleId="9">
    <w:name w:val="Body Text Indent 2"/>
    <w:basedOn w:val="1"/>
    <w:qFormat/>
    <w:uiPriority w:val="0"/>
    <w:pPr>
      <w:ind w:hanging="5"/>
    </w:pPr>
    <w:rPr>
      <w:rFonts w:ascii="仿宋_GB2312" w:eastAsia="仿宋_GB2312"/>
      <w:sz w:val="31"/>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Body Text Indent 3"/>
    <w:basedOn w:val="1"/>
    <w:qFormat/>
    <w:uiPriority w:val="0"/>
    <w:pPr>
      <w:spacing w:line="580" w:lineRule="exact"/>
      <w:ind w:firstLine="620" w:firstLineChars="200"/>
    </w:pPr>
    <w:rPr>
      <w:rFonts w:ascii="仿宋_GB2312" w:eastAsia="仿宋_GB2312"/>
      <w:sz w:val="31"/>
    </w:rPr>
  </w:style>
  <w:style w:type="paragraph" w:styleId="14">
    <w:name w:val="Body Text 2"/>
    <w:basedOn w:val="1"/>
    <w:qFormat/>
    <w:uiPriority w:val="0"/>
    <w:rPr>
      <w:rFonts w:ascii="仿宋_GB2312" w:eastAsia="仿宋_GB2312"/>
      <w:sz w:val="31"/>
    </w:rPr>
  </w:style>
  <w:style w:type="character" w:styleId="16">
    <w:name w:val="page number"/>
    <w:basedOn w:val="15"/>
    <w:qFormat/>
    <w:uiPriority w:val="0"/>
  </w:style>
  <w:style w:type="character" w:styleId="17">
    <w:name w:val="Hyperlink"/>
    <w:qFormat/>
    <w:uiPriority w:val="0"/>
    <w:rPr>
      <w:color w:val="0000FF"/>
      <w:u w:val="single"/>
    </w:rPr>
  </w:style>
  <w:style w:type="paragraph" w:customStyle="1" w:styleId="19">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
    <w:name w:val="akai"/>
    <w:basedOn w:val="1"/>
    <w:qFormat/>
    <w:uiPriority w:val="0"/>
    <w:pPr>
      <w:spacing w:line="580" w:lineRule="exact"/>
      <w:ind w:firstLine="200" w:firstLineChars="200"/>
    </w:pPr>
    <w:rPr>
      <w:rFonts w:eastAsia="仿宋_GB2312"/>
      <w:sz w:val="31"/>
    </w:rPr>
  </w:style>
  <w:style w:type="paragraph" w:customStyle="1" w:styleId="21">
    <w:name w:val="样式 仿宋_GB2312 四号 行距: 固定值 25 磅"/>
    <w:basedOn w:val="1"/>
    <w:qFormat/>
    <w:uiPriority w:val="0"/>
    <w:pPr>
      <w:spacing w:line="500" w:lineRule="exact"/>
      <w:ind w:firstLine="560" w:firstLineChars="200"/>
    </w:pPr>
    <w:rPr>
      <w:rFonts w:eastAsia="仿宋_GB2312" w:cs="宋体"/>
      <w:sz w:val="28"/>
      <w:szCs w:val="28"/>
    </w:rPr>
  </w:style>
  <w:style w:type="paragraph" w:customStyle="1" w:styleId="22">
    <w:name w:val="样式1"/>
    <w:basedOn w:val="1"/>
    <w:qFormat/>
    <w:uiPriority w:val="0"/>
    <w:pPr>
      <w:spacing w:line="480" w:lineRule="exact"/>
      <w:ind w:firstLine="567"/>
    </w:pPr>
    <w:rPr>
      <w:rFonts w:ascii="宋体" w:hAnsi="宋体"/>
      <w:kern w:val="0"/>
      <w:sz w:val="30"/>
      <w:szCs w:val="24"/>
    </w:rPr>
  </w:style>
  <w:style w:type="paragraph" w:customStyle="1" w:styleId="23">
    <w:name w:val="默认段落字体 Para Char Char Char Char Char Char Char Char Char Char"/>
    <w:basedOn w:val="1"/>
    <w:qFormat/>
    <w:uiPriority w:val="0"/>
    <w:pPr>
      <w:adjustRightInd w:val="0"/>
      <w:spacing w:line="360" w:lineRule="auto"/>
    </w:pPr>
    <w:rPr>
      <w:kern w:val="0"/>
      <w:sz w:val="24"/>
    </w:rPr>
  </w:style>
  <w:style w:type="paragraph" w:customStyle="1" w:styleId="24">
    <w:name w:val="Char Char Char Char Char Char Char Char Char Char"/>
    <w:basedOn w:val="1"/>
    <w:qFormat/>
    <w:uiPriority w:val="0"/>
    <w:pPr>
      <w:spacing w:line="360" w:lineRule="auto"/>
    </w:pPr>
    <w:rPr>
      <w:szCs w:val="24"/>
    </w:rPr>
  </w:style>
  <w:style w:type="paragraph" w:customStyle="1" w:styleId="25">
    <w:name w:val="p17"/>
    <w:basedOn w:val="1"/>
    <w:qFormat/>
    <w:uiPriority w:val="0"/>
    <w:pPr>
      <w:widowControl/>
    </w:pPr>
    <w:rPr>
      <w:kern w:val="0"/>
      <w:szCs w:val="21"/>
    </w:rPr>
  </w:style>
  <w:style w:type="paragraph" w:customStyle="1" w:styleId="26">
    <w:name w:val="p0"/>
    <w:basedOn w:val="1"/>
    <w:qFormat/>
    <w:uiPriority w:val="0"/>
    <w:pPr>
      <w:widowControl/>
    </w:pPr>
    <w:rPr>
      <w:rFonts w:ascii="Calibri" w:hAnsi="Calibri" w:cs="宋体"/>
      <w:kern w:val="0"/>
      <w:szCs w:val="21"/>
    </w:rPr>
  </w:style>
  <w:style w:type="paragraph" w:styleId="27">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14546-AC88-41B8-9C26-F0D0C02DB9B6}">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877</Words>
  <Characters>5003</Characters>
  <Lines>41</Lines>
  <Paragraphs>11</Paragraphs>
  <TotalTime>0</TotalTime>
  <ScaleCrop>false</ScaleCrop>
  <LinksUpToDate>false</LinksUpToDate>
  <CharactersWithSpaces>5869</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2018-06-25T06:47:00Z</dcterms:created>
  <dc:creator>东莞市计划委员会</dc:creator>
  <cp:lastModifiedBy>邓嘉洛</cp:lastModifiedBy>
  <cp:lastPrinted>2019-08-16T02:51:00Z</cp:lastPrinted>
  <dcterms:modified xsi:type="dcterms:W3CDTF">2019-08-19T08:28:56Z</dcterms:modified>
  <dc:title>关于卢伟文等四位同志职位调整的讨论情况纪要</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